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40"/>
          <w:szCs w:val="40"/>
          <w:lang w:val="en-GB" w:eastAsia="ca-ES"/>
        </w:rPr>
      </w:pPr>
      <w:r w:rsidRPr="0053631B">
        <w:rPr>
          <w:rFonts w:eastAsia="Times New Roman" w:cstheme="minorHAnsi"/>
          <w:color w:val="222222"/>
          <w:sz w:val="40"/>
          <w:szCs w:val="40"/>
          <w:lang w:val="en-GB" w:eastAsia="ca-ES"/>
        </w:rPr>
        <w:t>Application procedure for exchange students at Aarhus University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40"/>
          <w:szCs w:val="40"/>
          <w:lang w:val="en-GB" w:eastAsia="ca-ES"/>
        </w:rPr>
      </w:pP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Dear exchange partners,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 xml:space="preserve">Greetings from </w:t>
      </w:r>
      <w:r w:rsidRPr="0053631B">
        <w:rPr>
          <w:rFonts w:eastAsia="Times New Roman" w:cstheme="minorHAnsi"/>
          <w:b/>
          <w:color w:val="222222"/>
          <w:sz w:val="24"/>
          <w:szCs w:val="24"/>
          <w:lang w:val="en-GB" w:eastAsia="ca-ES"/>
        </w:rPr>
        <w:t>Faculty of Science and Technology, Aarhus University.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This email provides additional information about the application procedure for exchange students at Faculty of Science and Technology. 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We hope that the information below will be helpful for your students, and feel free to contact us, if you or your students have any questions.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b/>
          <w:bCs/>
          <w:color w:val="222222"/>
          <w:sz w:val="24"/>
          <w:szCs w:val="24"/>
          <w:lang w:val="en-GB" w:eastAsia="ca-ES"/>
        </w:rPr>
        <w:t>Our online application system for the autumn semester 2019 is open from 1 March to 1 May 2019. </w:t>
      </w: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 xml:space="preserve">Applications submitted after the deadline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will not be considered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b/>
          <w:bCs/>
          <w:color w:val="222222"/>
          <w:sz w:val="24"/>
          <w:szCs w:val="24"/>
          <w:lang w:val="en-GB" w:eastAsia="ca-ES"/>
        </w:rPr>
        <w:t>Application Process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All prospective exchange students must fill out an application in our online system, which also includes the application for housing.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Students must first create a self-service account on Aarhus University’s self-service </w:t>
      </w:r>
      <w:hyperlink r:id="rId5" w:tgtFrame="_blank" w:history="1">
        <w:r w:rsidRPr="0053631B">
          <w:rPr>
            <w:rFonts w:eastAsia="Times New Roman" w:cstheme="minorHAnsi"/>
            <w:color w:val="1155CC"/>
            <w:sz w:val="24"/>
            <w:szCs w:val="24"/>
            <w:u w:val="single"/>
            <w:lang w:val="en-GB" w:eastAsia="ca-ES"/>
          </w:rPr>
          <w:t>mit.au.dk</w:t>
        </w:r>
      </w:hyperlink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 xml:space="preserve">,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then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 xml:space="preserve"> start the application process.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• You initiate the application and transmit it to your international coordinator at your home university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• Your international coordinator receives an email with a link to confirm the nomination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 xml:space="preserve">• Once the nomination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is confirmed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, you will be able to complete and submit the application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Read about the application process</w:t>
      </w:r>
      <w:hyperlink r:id="rId6" w:tgtFrame="_blank" w:history="1">
        <w:r w:rsidRPr="0053631B">
          <w:rPr>
            <w:rFonts w:eastAsia="Times New Roman" w:cstheme="minorHAnsi"/>
            <w:color w:val="1155CC"/>
            <w:sz w:val="24"/>
            <w:szCs w:val="24"/>
            <w:u w:val="single"/>
            <w:lang w:val="en-GB" w:eastAsia="ca-ES"/>
          </w:rPr>
          <w:t> h</w:t>
        </w:r>
        <w:bookmarkStart w:id="0" w:name="_GoBack"/>
        <w:bookmarkEnd w:id="0"/>
        <w:r w:rsidRPr="0053631B">
          <w:rPr>
            <w:rFonts w:eastAsia="Times New Roman" w:cstheme="minorHAnsi"/>
            <w:color w:val="1155CC"/>
            <w:sz w:val="24"/>
            <w:szCs w:val="24"/>
            <w:u w:val="single"/>
            <w:lang w:val="en-GB" w:eastAsia="ca-ES"/>
          </w:rPr>
          <w:t>ere.</w:t>
        </w:r>
      </w:hyperlink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b/>
          <w:bCs/>
          <w:color w:val="222222"/>
          <w:sz w:val="24"/>
          <w:szCs w:val="24"/>
          <w:lang w:val="en-GB" w:eastAsia="ca-ES"/>
        </w:rPr>
        <w:t>R</w:t>
      </w:r>
      <w:proofErr w:type="spellStart"/>
      <w:r w:rsidRPr="0053631B">
        <w:rPr>
          <w:rFonts w:eastAsia="Times New Roman" w:cstheme="minorHAnsi"/>
          <w:b/>
          <w:bCs/>
          <w:color w:val="222222"/>
          <w:sz w:val="24"/>
          <w:szCs w:val="24"/>
          <w:lang w:val="en-US" w:eastAsia="ca-ES"/>
        </w:rPr>
        <w:t>ules</w:t>
      </w:r>
      <w:proofErr w:type="spellEnd"/>
      <w:r w:rsidRPr="0053631B">
        <w:rPr>
          <w:rFonts w:eastAsia="Times New Roman" w:cstheme="minorHAnsi"/>
          <w:b/>
          <w:bCs/>
          <w:color w:val="222222"/>
          <w:sz w:val="24"/>
          <w:szCs w:val="24"/>
          <w:lang w:val="en-US" w:eastAsia="ca-ES"/>
        </w:rPr>
        <w:t xml:space="preserve"> for choosing courses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When choosing courses it is important that your students respect the following rules: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Choose one or (maximum) two departments.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Choose 30 ECTS points per semester as follows:</w:t>
      </w:r>
    </w:p>
    <w:p w:rsidR="0053631B" w:rsidRPr="0053631B" w:rsidRDefault="0053631B" w:rsidP="005363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30 ECTS points per semester at one department OR</w:t>
      </w:r>
    </w:p>
    <w:p w:rsidR="0053631B" w:rsidRPr="0053631B" w:rsidRDefault="0053631B" w:rsidP="005363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20 ECTS points per semester at one department and 10 ECTS points at another department (but always within the same faculty)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All master level courses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are taught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in English whereas the vast majority of bachelor level courses are taught in Danish.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As a general rule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, admission at MSc level courses requires completion of a relevant bachelor’s degree or 3 years’ of study within the 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lastRenderedPageBreak/>
        <w:t>relevant subject area. </w:t>
      </w:r>
      <w:r w:rsidRPr="0053631B">
        <w:rPr>
          <w:rFonts w:eastAsia="Times New Roman" w:cstheme="minorHAnsi"/>
          <w:color w:val="222222"/>
          <w:sz w:val="24"/>
          <w:szCs w:val="24"/>
          <w:lang w:val="en" w:eastAsia="ca-ES"/>
        </w:rPr>
        <w:t>In addition, applicants must meet the specific academic requirements for </w:t>
      </w: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each individual course</w:t>
      </w:r>
      <w:r w:rsidRPr="0053631B">
        <w:rPr>
          <w:rFonts w:eastAsia="Times New Roman" w:cstheme="minorHAnsi"/>
          <w:color w:val="222222"/>
          <w:sz w:val="24"/>
          <w:szCs w:val="24"/>
          <w:lang w:val="en" w:eastAsia="ca-ES"/>
        </w:rPr>
        <w:t>. 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All students’ applications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will be reviewed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on a case-by-case basis as the required academic prerequisites vary significantly from </w:t>
      </w:r>
      <w:proofErr w:type="spell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programme</w:t>
      </w:r>
      <w:proofErr w:type="spell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to </w:t>
      </w:r>
      <w:proofErr w:type="spell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programme</w:t>
      </w:r>
      <w:proofErr w:type="spell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and sometimes even from course to course. Academic requirements for the courses are available in the </w:t>
      </w:r>
      <w:hyperlink r:id="rId7" w:tgtFrame="_blank" w:history="1">
        <w:r w:rsidRPr="0053631B">
          <w:rPr>
            <w:rFonts w:eastAsia="Times New Roman" w:cstheme="minorHAnsi"/>
            <w:color w:val="0563C1"/>
            <w:sz w:val="24"/>
            <w:szCs w:val="24"/>
            <w:u w:val="single"/>
            <w:lang w:val="en-US" w:eastAsia="ca-ES"/>
          </w:rPr>
          <w:t>course catalogue.</w:t>
        </w:r>
      </w:hyperlink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If students choose courses that do not comply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to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the rules above and/or the courses do not fit their academic profile, they will be asked to choose new courses.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b/>
          <w:bCs/>
          <w:color w:val="222222"/>
          <w:sz w:val="24"/>
          <w:szCs w:val="24"/>
          <w:lang w:val="en-US" w:eastAsia="ca-ES"/>
        </w:rPr>
        <w:t>Required documents</w:t>
      </w:r>
    </w:p>
    <w:p w:rsidR="0053631B" w:rsidRPr="0053631B" w:rsidRDefault="0053631B" w:rsidP="005363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Official transcript of records in English showing ALL results from the home university - including bachelor studies</w:t>
      </w:r>
    </w:p>
    <w:p w:rsidR="0053631B" w:rsidRPr="0053631B" w:rsidRDefault="0053631B" w:rsidP="005363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Copy/Scan of passport OR national identity card (national identity card only an option for EU Citizens)</w:t>
      </w:r>
    </w:p>
    <w:p w:rsidR="0053631B" w:rsidRPr="0053631B" w:rsidRDefault="0053631B" w:rsidP="005363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Documentation of English language qualifications comparable to CEFR C1, TOEFL IBT 83, IELTS 6.5. English language qualifications can be documented as follows: 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br/>
        <w:t>TOEFL test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br/>
        <w:t>IELTS (academic) test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br/>
        <w:t>"C1 level" obtained by examination from a CEFR-validated English language course</w:t>
      </w:r>
    </w:p>
    <w:p w:rsidR="0053631B" w:rsidRPr="0053631B" w:rsidRDefault="0053631B" w:rsidP="0053631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before="100" w:beforeAutospacing="1" w:after="240" w:line="240" w:lineRule="auto"/>
        <w:ind w:left="720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Applicants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can be exempted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from this rule. The exemption applies to the following types:</w:t>
      </w:r>
    </w:p>
    <w:p w:rsidR="0053631B" w:rsidRPr="0053631B" w:rsidRDefault="0053631B" w:rsidP="0053631B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·</w:t>
      </w:r>
      <w:r w:rsidRPr="0053631B">
        <w:rPr>
          <w:rFonts w:eastAsia="Times New Roman" w:cstheme="minorHAnsi"/>
          <w:color w:val="222222"/>
          <w:sz w:val="14"/>
          <w:szCs w:val="14"/>
          <w:lang w:val="en-US" w:eastAsia="ca-ES"/>
        </w:rPr>
        <w:t>         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Applicants with a completed English-taught entrance examination ("high school") or an English-taught Bachelor's </w:t>
      </w:r>
      <w:proofErr w:type="spell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programme</w:t>
      </w:r>
      <w:proofErr w:type="spellEnd"/>
    </w:p>
    <w:p w:rsidR="0053631B" w:rsidRPr="0053631B" w:rsidRDefault="0053631B" w:rsidP="0053631B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·</w:t>
      </w:r>
      <w:r w:rsidRPr="0053631B">
        <w:rPr>
          <w:rFonts w:eastAsia="Times New Roman" w:cstheme="minorHAnsi"/>
          <w:color w:val="222222"/>
          <w:sz w:val="14"/>
          <w:szCs w:val="14"/>
          <w:lang w:val="en-US" w:eastAsia="ca-ES"/>
        </w:rPr>
        <w:t>         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Applicants currently enrolled in an English-taught 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Bachelor's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 xml:space="preserve"> or Master’s </w:t>
      </w:r>
      <w:proofErr w:type="spellStart"/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programme</w:t>
      </w:r>
      <w:proofErr w:type="spellEnd"/>
    </w:p>
    <w:p w:rsidR="0053631B" w:rsidRPr="0053631B" w:rsidRDefault="0053631B" w:rsidP="0053631B">
      <w:pPr>
        <w:shd w:val="clear" w:color="auto" w:fill="FFFFFF"/>
        <w:spacing w:before="100" w:beforeAutospacing="1" w:after="100" w:afterAutospacing="1" w:line="240" w:lineRule="auto"/>
        <w:ind w:left="1134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·</w:t>
      </w:r>
      <w:r w:rsidRPr="0053631B">
        <w:rPr>
          <w:rFonts w:eastAsia="Times New Roman" w:cstheme="minorHAnsi"/>
          <w:color w:val="222222"/>
          <w:sz w:val="14"/>
          <w:szCs w:val="14"/>
          <w:lang w:val="en-US" w:eastAsia="ca-ES"/>
        </w:rPr>
        <w:t>         </w:t>
      </w: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Applicants with a Danish/Nordic entrance examination (high school) or International Baccalaureate (high school) with an English level comparable to a Danish B level in English.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US" w:eastAsia="ca-ES"/>
        </w:rPr>
        <w:t>Please notice that we cannot process applications without the required documents attached! </w:t>
      </w:r>
      <w:proofErr w:type="gramStart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And</w:t>
      </w:r>
      <w:proofErr w:type="gramEnd"/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 xml:space="preserve"> failure to provide the required documentation by the application deadline may result in a rejection of the application.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 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4"/>
          <w:szCs w:val="24"/>
          <w:lang w:val="en-GB" w:eastAsia="ca-ES"/>
        </w:rPr>
        <w:t>We look forward to receiving applications from your students!</w:t>
      </w:r>
    </w:p>
    <w:p w:rsidR="0053631B" w:rsidRPr="0053631B" w:rsidRDefault="0053631B" w:rsidP="005363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a-ES"/>
        </w:rPr>
      </w:pPr>
      <w:r w:rsidRPr="0053631B">
        <w:rPr>
          <w:rFonts w:eastAsia="Times New Roman" w:cstheme="minorHAnsi"/>
          <w:color w:val="222222"/>
          <w:sz w:val="20"/>
          <w:szCs w:val="20"/>
          <w:lang w:val="en-GB" w:eastAsia="ca-ES"/>
        </w:rPr>
        <w:t> </w:t>
      </w:r>
    </w:p>
    <w:p w:rsidR="00BE6DDE" w:rsidRPr="0053631B" w:rsidRDefault="0053631B">
      <w:pPr>
        <w:rPr>
          <w:rFonts w:cstheme="minorHAnsi"/>
        </w:rPr>
      </w:pPr>
    </w:p>
    <w:sectPr w:rsidR="00BE6DDE" w:rsidRPr="0053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2AC7"/>
    <w:multiLevelType w:val="multilevel"/>
    <w:tmpl w:val="9F0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421EEB"/>
    <w:multiLevelType w:val="multilevel"/>
    <w:tmpl w:val="B34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1B"/>
    <w:rsid w:val="002B5F1A"/>
    <w:rsid w:val="0036613B"/>
    <w:rsid w:val="005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F4592-7777-4560-98EA-678E9AEC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631B"/>
    <w:rPr>
      <w:color w:val="0000FF"/>
      <w:u w:val="single"/>
    </w:rPr>
  </w:style>
  <w:style w:type="character" w:customStyle="1" w:styleId="m-4773569888966591870msohyperlink">
    <w:name w:val="m_-4773569888966591870msohyperlink"/>
    <w:basedOn w:val="Fuentedeprrafopredeter"/>
    <w:rsid w:val="0053631B"/>
  </w:style>
  <w:style w:type="paragraph" w:customStyle="1" w:styleId="m-4773569888966591870msonormal">
    <w:name w:val="m_-4773569888966591870msonormal"/>
    <w:basedOn w:val="Normal"/>
    <w:rsid w:val="0053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rsuskatalog.au.dk/en/coursecatalog/Course/show/557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ational.au.dk/education/admissions/exchange/admission-to-aarhus-university/" TargetMode="External"/><Relationship Id="rId5" Type="http://schemas.openxmlformats.org/officeDocument/2006/relationships/hyperlink" Target="http://mit.au.d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</dc:creator>
  <cp:keywords/>
  <dc:description/>
  <cp:lastModifiedBy>ORI</cp:lastModifiedBy>
  <cp:revision>1</cp:revision>
  <cp:lastPrinted>2019-03-14T16:38:00Z</cp:lastPrinted>
  <dcterms:created xsi:type="dcterms:W3CDTF">2019-03-14T16:35:00Z</dcterms:created>
  <dcterms:modified xsi:type="dcterms:W3CDTF">2019-03-14T16:44:00Z</dcterms:modified>
</cp:coreProperties>
</file>