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44" w:rsidRPr="009303B8" w:rsidRDefault="007F1484" w:rsidP="00EF7644">
      <w:pPr>
        <w:spacing w:line="360" w:lineRule="auto"/>
        <w:jc w:val="both"/>
        <w:rPr>
          <w:rFonts w:ascii="Verdana" w:hAnsi="Verdana"/>
          <w:b/>
          <w:i/>
          <w:color w:val="4F6228" w:themeColor="accent3" w:themeShade="80"/>
          <w:sz w:val="20"/>
          <w:szCs w:val="20"/>
        </w:rPr>
      </w:pPr>
      <w:r>
        <w:rPr>
          <w:rFonts w:ascii="Verdana" w:hAnsi="Verdana"/>
          <w:b/>
          <w:i/>
          <w:color w:val="4F6228" w:themeColor="accent3" w:themeShade="80"/>
          <w:sz w:val="20"/>
          <w:szCs w:val="20"/>
        </w:rPr>
        <w:t>P</w:t>
      </w:r>
      <w:bookmarkStart w:id="0" w:name="_GoBack"/>
      <w:bookmarkEnd w:id="0"/>
      <w:r w:rsidR="00973D3D" w:rsidRPr="009303B8">
        <w:rPr>
          <w:rFonts w:ascii="Verdana" w:hAnsi="Verdana"/>
          <w:b/>
          <w:i/>
          <w:color w:val="4F6228" w:themeColor="accent3" w:themeShade="80"/>
          <w:sz w:val="20"/>
          <w:szCs w:val="20"/>
        </w:rPr>
        <w:t>resentación y debate del protocolo de la CBUB para la evaluación de proyectos del ámbito de las ciencias humanas y sociales</w:t>
      </w:r>
    </w:p>
    <w:p w:rsidR="00EF7644" w:rsidRPr="009303B8" w:rsidRDefault="00EF7644">
      <w:pPr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9303B8">
        <w:rPr>
          <w:rFonts w:ascii="Verdana" w:hAnsi="Verdana"/>
          <w:b/>
          <w:color w:val="4F6228" w:themeColor="accent3" w:themeShade="80"/>
          <w:sz w:val="20"/>
          <w:szCs w:val="20"/>
        </w:rPr>
        <w:t>ACUERDOS:</w:t>
      </w:r>
    </w:p>
    <w:p w:rsidR="00EF7644" w:rsidRPr="00EF7644" w:rsidRDefault="00EF7644">
      <w:pPr>
        <w:rPr>
          <w:rFonts w:ascii="Verdana" w:hAnsi="Verdana"/>
          <w:b/>
          <w:color w:val="4F6228" w:themeColor="accent3" w:themeShade="80"/>
        </w:rPr>
      </w:pPr>
    </w:p>
    <w:p w:rsidR="00D937C6" w:rsidRPr="00EF7644" w:rsidRDefault="00D937C6" w:rsidP="00EF7644">
      <w:pPr>
        <w:pStyle w:val="Prrafodelista"/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EF7644">
        <w:rPr>
          <w:rFonts w:ascii="Verdana" w:hAnsi="Verdana"/>
          <w:sz w:val="20"/>
          <w:szCs w:val="20"/>
        </w:rPr>
        <w:t xml:space="preserve">Los Protocolos/Formularios de los Comités de Ética de Investigación deben atender </w:t>
      </w:r>
      <w:r w:rsidR="00825A75" w:rsidRPr="00EF7644">
        <w:rPr>
          <w:rFonts w:ascii="Verdana" w:hAnsi="Verdana"/>
          <w:sz w:val="20"/>
          <w:szCs w:val="20"/>
        </w:rPr>
        <w:t xml:space="preserve">también </w:t>
      </w:r>
      <w:r w:rsidRPr="00EF7644">
        <w:rPr>
          <w:rFonts w:ascii="Verdana" w:hAnsi="Verdana"/>
          <w:sz w:val="20"/>
          <w:szCs w:val="20"/>
        </w:rPr>
        <w:t>la esp</w:t>
      </w:r>
      <w:r w:rsidR="00825A75" w:rsidRPr="00EF7644">
        <w:rPr>
          <w:rFonts w:ascii="Verdana" w:hAnsi="Verdana"/>
          <w:sz w:val="20"/>
          <w:szCs w:val="20"/>
        </w:rPr>
        <w:t>ecificidad de los Proyectos de I</w:t>
      </w:r>
      <w:r w:rsidRPr="00EF7644">
        <w:rPr>
          <w:rFonts w:ascii="Verdana" w:hAnsi="Verdana"/>
          <w:sz w:val="20"/>
          <w:szCs w:val="20"/>
        </w:rPr>
        <w:t>nvestigación (PI) procedentes del ámbito de las Ciencias Humanas y Sociales.</w:t>
      </w:r>
    </w:p>
    <w:p w:rsidR="00D937C6" w:rsidRPr="00EF7644" w:rsidRDefault="00D937C6" w:rsidP="00EF7644">
      <w:pPr>
        <w:pStyle w:val="Prrafodelista"/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EF7644">
        <w:rPr>
          <w:rFonts w:ascii="Verdana" w:hAnsi="Verdana"/>
          <w:sz w:val="20"/>
          <w:szCs w:val="20"/>
        </w:rPr>
        <w:t>Las Tesis doctorales, forme</w:t>
      </w:r>
      <w:r w:rsidR="002836E7" w:rsidRPr="00EF7644">
        <w:rPr>
          <w:rFonts w:ascii="Verdana" w:hAnsi="Verdana"/>
          <w:sz w:val="20"/>
          <w:szCs w:val="20"/>
        </w:rPr>
        <w:t>n</w:t>
      </w:r>
      <w:r w:rsidRPr="00EF7644">
        <w:rPr>
          <w:rFonts w:ascii="Verdana" w:hAnsi="Verdana"/>
          <w:sz w:val="20"/>
          <w:szCs w:val="20"/>
        </w:rPr>
        <w:t xml:space="preserve"> parte de un PI o no, deben tener la misma consideración y las mismas exigencias éticas que los PI. El doctorando/a y su director/a de Tesis deben responsabilizarse ambos de los aspectos éticos de la Tesis.</w:t>
      </w:r>
    </w:p>
    <w:p w:rsidR="00D937C6" w:rsidRPr="00EF7644" w:rsidRDefault="00D937C6" w:rsidP="00EF7644">
      <w:pPr>
        <w:pStyle w:val="Prrafodelista"/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EF7644">
        <w:rPr>
          <w:rFonts w:ascii="Verdana" w:hAnsi="Verdana"/>
          <w:sz w:val="20"/>
          <w:szCs w:val="20"/>
        </w:rPr>
        <w:t xml:space="preserve">Analógicamente, los TFM, TFG o MP suponen una excelente ocasión para la formación en ética de la investigación de los estudiantes y/o postgraduados. Sin embargo, es aconsejable que sean los profesores-tutores quienes se responsabilicen de la calidad ética de dichos trabajos, atendiendo para ello a los protocolos establecidos por cada Universidad/OPI, y que ello sea tenido en cuenta en </w:t>
      </w:r>
      <w:r w:rsidR="000D16F2" w:rsidRPr="00EF7644">
        <w:rPr>
          <w:rFonts w:ascii="Verdana" w:hAnsi="Verdana"/>
          <w:sz w:val="20"/>
          <w:szCs w:val="20"/>
        </w:rPr>
        <w:t>el</w:t>
      </w:r>
      <w:r w:rsidRPr="00EF7644">
        <w:rPr>
          <w:rFonts w:ascii="Verdana" w:hAnsi="Verdana"/>
          <w:sz w:val="20"/>
          <w:szCs w:val="20"/>
        </w:rPr>
        <w:t xml:space="preserve"> </w:t>
      </w:r>
      <w:r w:rsidR="000D16F2" w:rsidRPr="00EF7644">
        <w:rPr>
          <w:rFonts w:ascii="Verdana" w:hAnsi="Verdana"/>
          <w:sz w:val="20"/>
          <w:szCs w:val="20"/>
        </w:rPr>
        <w:t xml:space="preserve">diseño y realización </w:t>
      </w:r>
      <w:r w:rsidRPr="00EF7644">
        <w:rPr>
          <w:rFonts w:ascii="Verdana" w:hAnsi="Verdana"/>
          <w:sz w:val="20"/>
          <w:szCs w:val="20"/>
        </w:rPr>
        <w:t>del trabajo</w:t>
      </w:r>
      <w:r w:rsidR="00090DB6" w:rsidRPr="00EF7644">
        <w:rPr>
          <w:rFonts w:ascii="Verdana" w:hAnsi="Verdana"/>
          <w:sz w:val="20"/>
          <w:szCs w:val="20"/>
        </w:rPr>
        <w:t xml:space="preserve">. Los Comités de Ética asesorarán, orientarán y, cuando así se </w:t>
      </w:r>
      <w:r w:rsidRPr="00EF7644">
        <w:rPr>
          <w:rFonts w:ascii="Verdana" w:hAnsi="Verdana"/>
          <w:sz w:val="20"/>
          <w:szCs w:val="20"/>
        </w:rPr>
        <w:t xml:space="preserve"> </w:t>
      </w:r>
      <w:r w:rsidR="00090DB6" w:rsidRPr="00EF7644">
        <w:rPr>
          <w:rFonts w:ascii="Verdana" w:hAnsi="Verdana"/>
          <w:sz w:val="20"/>
          <w:szCs w:val="20"/>
        </w:rPr>
        <w:t>les solicite, revisarán lo anterior.</w:t>
      </w:r>
    </w:p>
    <w:p w:rsidR="00090DB6" w:rsidRPr="00EF7644" w:rsidRDefault="00090DB6" w:rsidP="00EF7644">
      <w:pPr>
        <w:pStyle w:val="Prrafodelista"/>
        <w:numPr>
          <w:ilvl w:val="0"/>
          <w:numId w:val="1"/>
        </w:num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EF7644">
        <w:rPr>
          <w:rFonts w:ascii="Verdana" w:hAnsi="Verdana"/>
          <w:sz w:val="20"/>
          <w:szCs w:val="20"/>
        </w:rPr>
        <w:t xml:space="preserve">A tal fin, los Comités organizarán cursos (presenciales, semipresenciales o virtuales) para la información y formación de los  investigadores </w:t>
      </w:r>
      <w:r w:rsidR="002836E7" w:rsidRPr="00EF7644">
        <w:rPr>
          <w:rFonts w:ascii="Verdana" w:hAnsi="Verdana"/>
          <w:sz w:val="20"/>
          <w:szCs w:val="20"/>
        </w:rPr>
        <w:t xml:space="preserve">y sus profesores-tutores </w:t>
      </w:r>
      <w:r w:rsidRPr="00EF7644">
        <w:rPr>
          <w:rFonts w:ascii="Verdana" w:hAnsi="Verdana"/>
          <w:sz w:val="20"/>
          <w:szCs w:val="20"/>
        </w:rPr>
        <w:t>a todos los niveles.</w:t>
      </w:r>
    </w:p>
    <w:p w:rsidR="009303B8" w:rsidRDefault="00090DB6" w:rsidP="00EF7644">
      <w:pPr>
        <w:pStyle w:val="Prrafodelista"/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EF7644">
        <w:rPr>
          <w:rFonts w:ascii="Verdana" w:hAnsi="Verdana"/>
          <w:sz w:val="20"/>
          <w:szCs w:val="20"/>
        </w:rPr>
        <w:t xml:space="preserve">Se recomienda, además, que se priorice (mediante la Web de la Red) el intercambio de los esfuerzos, métodos y plataformas formativas que ya existan o que puedan implementarse en </w:t>
      </w:r>
      <w:r w:rsidR="005974E7">
        <w:rPr>
          <w:rFonts w:ascii="Verdana" w:hAnsi="Verdana"/>
          <w:sz w:val="20"/>
          <w:szCs w:val="20"/>
        </w:rPr>
        <w:t>el futuro</w:t>
      </w:r>
      <w:r w:rsidRPr="00EF7644">
        <w:rPr>
          <w:rFonts w:ascii="Verdana" w:hAnsi="Verdana"/>
          <w:sz w:val="20"/>
          <w:szCs w:val="20"/>
        </w:rPr>
        <w:t>.</w:t>
      </w:r>
    </w:p>
    <w:sectPr w:rsidR="00930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38"/>
    <w:multiLevelType w:val="multilevel"/>
    <w:tmpl w:val="1A8CF48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1">
    <w:nsid w:val="04A2745B"/>
    <w:multiLevelType w:val="multilevel"/>
    <w:tmpl w:val="508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162A"/>
    <w:multiLevelType w:val="multilevel"/>
    <w:tmpl w:val="EE5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F4BDA"/>
    <w:multiLevelType w:val="multilevel"/>
    <w:tmpl w:val="737CC218"/>
    <w:lvl w:ilvl="0">
      <w:start w:val="1"/>
      <w:numFmt w:val="none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</w:abstractNum>
  <w:abstractNum w:abstractNumId="4">
    <w:nsid w:val="3CD912D8"/>
    <w:multiLevelType w:val="hybridMultilevel"/>
    <w:tmpl w:val="3ABEE2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63C1"/>
    <w:multiLevelType w:val="multilevel"/>
    <w:tmpl w:val="38D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34D43"/>
    <w:multiLevelType w:val="multilevel"/>
    <w:tmpl w:val="8A7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16498"/>
    <w:multiLevelType w:val="hybridMultilevel"/>
    <w:tmpl w:val="2FF407CA"/>
    <w:lvl w:ilvl="0" w:tplc="774C11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C6"/>
    <w:rsid w:val="0002338D"/>
    <w:rsid w:val="00073E9E"/>
    <w:rsid w:val="00090DB6"/>
    <w:rsid w:val="000D16F2"/>
    <w:rsid w:val="002836E7"/>
    <w:rsid w:val="002A68A5"/>
    <w:rsid w:val="00307E0F"/>
    <w:rsid w:val="00412943"/>
    <w:rsid w:val="004E70D2"/>
    <w:rsid w:val="00511A7C"/>
    <w:rsid w:val="00560F74"/>
    <w:rsid w:val="00562A1E"/>
    <w:rsid w:val="005974E7"/>
    <w:rsid w:val="007F1484"/>
    <w:rsid w:val="00825A75"/>
    <w:rsid w:val="00902AAD"/>
    <w:rsid w:val="009303B8"/>
    <w:rsid w:val="00973D3D"/>
    <w:rsid w:val="00996457"/>
    <w:rsid w:val="00A844FD"/>
    <w:rsid w:val="00AC1CC3"/>
    <w:rsid w:val="00C4035A"/>
    <w:rsid w:val="00CD6E27"/>
    <w:rsid w:val="00D04442"/>
    <w:rsid w:val="00D937C6"/>
    <w:rsid w:val="00DE069A"/>
    <w:rsid w:val="00EF7644"/>
    <w:rsid w:val="00F25C9B"/>
    <w:rsid w:val="00F569EC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CB39-E0D8-45C2-B7EF-C7308E82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OBD</cp:lastModifiedBy>
  <cp:revision>29</cp:revision>
  <dcterms:created xsi:type="dcterms:W3CDTF">2014-03-31T21:18:00Z</dcterms:created>
  <dcterms:modified xsi:type="dcterms:W3CDTF">2014-04-30T09:02:00Z</dcterms:modified>
</cp:coreProperties>
</file>