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47E7" w14:textId="77777777" w:rsidR="000D31C5" w:rsidRPr="00FB3FF5" w:rsidRDefault="000D31C5" w:rsidP="00FB3F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FB3FF5"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 wp14:anchorId="273B2B41" wp14:editId="23F71F74">
            <wp:simplePos x="0" y="0"/>
            <wp:positionH relativeFrom="column">
              <wp:posOffset>4278630</wp:posOffset>
            </wp:positionH>
            <wp:positionV relativeFrom="paragraph">
              <wp:posOffset>-184785</wp:posOffset>
            </wp:positionV>
            <wp:extent cx="1937385" cy="453390"/>
            <wp:effectExtent l="19050" t="0" r="5715" b="0"/>
            <wp:wrapNone/>
            <wp:docPr id="5" name="Imatge 4" descr="CPF_2_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F_2_pp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53CFE" w14:textId="77777777" w:rsidR="000D31C5" w:rsidRPr="00FB3FF5" w:rsidRDefault="000D31C5" w:rsidP="00FB3F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ca-ES"/>
        </w:rPr>
      </w:pPr>
    </w:p>
    <w:p w14:paraId="3A21881B" w14:textId="77777777" w:rsidR="000D31C5" w:rsidRPr="00FB2E99" w:rsidRDefault="000D31C5" w:rsidP="00FB3F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ca-ES"/>
        </w:rPr>
      </w:pPr>
    </w:p>
    <w:p w14:paraId="336F579D" w14:textId="77777777" w:rsidR="00785EB1" w:rsidRPr="00FB2E99" w:rsidRDefault="00FB3FF5" w:rsidP="00FB3F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ca-ES"/>
        </w:rPr>
      </w:pPr>
      <w:r w:rsidRPr="00FB2E99">
        <w:rPr>
          <w:rFonts w:ascii="Times New Roman" w:hAnsi="Times New Roman" w:cs="Times New Roman"/>
          <w:b/>
          <w:sz w:val="28"/>
          <w:szCs w:val="28"/>
          <w:lang w:val="ca-ES"/>
        </w:rPr>
        <w:t xml:space="preserve">SISENA </w:t>
      </w:r>
      <w:r w:rsidR="006E6D2C" w:rsidRPr="00FB2E99">
        <w:rPr>
          <w:rFonts w:ascii="Times New Roman" w:hAnsi="Times New Roman" w:cs="Times New Roman"/>
          <w:b/>
          <w:sz w:val="28"/>
          <w:szCs w:val="28"/>
          <w:lang w:val="ca-ES"/>
        </w:rPr>
        <w:t>JORNADA DE LA CÀTEDRA POMPEU FABRA</w:t>
      </w:r>
    </w:p>
    <w:p w14:paraId="5180F9C7" w14:textId="3323F384" w:rsidR="00FB3FF5" w:rsidRPr="00FB2E99" w:rsidRDefault="00FB3E39" w:rsidP="00FB3FF5">
      <w:pPr>
        <w:pStyle w:val="Ttulo2"/>
        <w:spacing w:before="150" w:beforeAutospacing="0" w:after="150" w:afterAutospacing="0"/>
        <w:jc w:val="center"/>
        <w:rPr>
          <w:b w:val="0"/>
          <w:bCs w:val="0"/>
          <w:color w:val="C8102E"/>
          <w:sz w:val="30"/>
          <w:szCs w:val="30"/>
          <w:lang w:val="ca-ES"/>
        </w:rPr>
      </w:pPr>
      <w:r w:rsidRPr="00FB2E99">
        <w:rPr>
          <w:b w:val="0"/>
          <w:bCs w:val="0"/>
          <w:color w:val="C8102E"/>
          <w:sz w:val="30"/>
          <w:szCs w:val="30"/>
          <w:lang w:val="ca-ES"/>
        </w:rPr>
        <w:t>“</w:t>
      </w:r>
      <w:r w:rsidR="00FB3FF5" w:rsidRPr="00FB2E99">
        <w:rPr>
          <w:b w:val="0"/>
          <w:bCs w:val="0"/>
          <w:color w:val="C8102E"/>
          <w:sz w:val="30"/>
          <w:szCs w:val="30"/>
          <w:lang w:val="ca-ES"/>
        </w:rPr>
        <w:t>Accions polítiques sobre la llengua:</w:t>
      </w:r>
      <w:r w:rsidR="00FB3FF5" w:rsidRPr="00FB2E99">
        <w:rPr>
          <w:b w:val="0"/>
          <w:bCs w:val="0"/>
          <w:color w:val="C8102E"/>
          <w:sz w:val="30"/>
          <w:szCs w:val="30"/>
          <w:lang w:val="ca-ES"/>
        </w:rPr>
        <w:br/>
        <w:t xml:space="preserve">adequació i </w:t>
      </w:r>
      <w:r w:rsidR="00FB2E99" w:rsidRPr="00FB2E99">
        <w:rPr>
          <w:b w:val="0"/>
          <w:bCs w:val="0"/>
          <w:color w:val="C8102E"/>
          <w:sz w:val="30"/>
          <w:szCs w:val="30"/>
          <w:lang w:val="ca-ES"/>
        </w:rPr>
        <w:t>eficàcia</w:t>
      </w:r>
      <w:r w:rsidRPr="00FB2E99">
        <w:rPr>
          <w:b w:val="0"/>
          <w:bCs w:val="0"/>
          <w:color w:val="C8102E"/>
          <w:sz w:val="30"/>
          <w:szCs w:val="30"/>
          <w:lang w:val="ca-ES"/>
        </w:rPr>
        <w:t>”</w:t>
      </w:r>
    </w:p>
    <w:p w14:paraId="5BFB15AB" w14:textId="77777777" w:rsidR="006E6D2C" w:rsidRPr="00FB2E99" w:rsidRDefault="006E6D2C" w:rsidP="00FB3FF5">
      <w:pPr>
        <w:jc w:val="center"/>
        <w:outlineLvl w:val="0"/>
        <w:rPr>
          <w:rFonts w:ascii="Times New Roman" w:hAnsi="Times New Roman" w:cs="Times New Roman"/>
          <w:b/>
          <w:lang w:val="ca-ES"/>
        </w:rPr>
      </w:pPr>
    </w:p>
    <w:p w14:paraId="4A7B1ACF" w14:textId="77777777" w:rsidR="006E6D2C" w:rsidRPr="00FB3FF5" w:rsidRDefault="00FB3FF5" w:rsidP="00FB3FF5">
      <w:pPr>
        <w:jc w:val="center"/>
        <w:outlineLvl w:val="0"/>
        <w:rPr>
          <w:rFonts w:ascii="Times New Roman" w:hAnsi="Times New Roman" w:cs="Times New Roman"/>
          <w:b/>
          <w:lang w:val="ca-ES"/>
        </w:rPr>
      </w:pPr>
      <w:r w:rsidRPr="00FB3FF5">
        <w:rPr>
          <w:rFonts w:ascii="Times New Roman" w:hAnsi="Times New Roman" w:cs="Times New Roman"/>
          <w:b/>
          <w:lang w:val="ca-ES"/>
        </w:rPr>
        <w:t>Barcel</w:t>
      </w:r>
      <w:r>
        <w:rPr>
          <w:rFonts w:ascii="Times New Roman" w:hAnsi="Times New Roman" w:cs="Times New Roman"/>
          <w:b/>
          <w:lang w:val="ca-ES"/>
        </w:rPr>
        <w:t xml:space="preserve">ona, 19 i </w:t>
      </w:r>
      <w:r w:rsidRPr="00FB3FF5">
        <w:rPr>
          <w:rFonts w:ascii="Times New Roman" w:hAnsi="Times New Roman" w:cs="Times New Roman"/>
          <w:b/>
          <w:lang w:val="ca-ES"/>
        </w:rPr>
        <w:t>20</w:t>
      </w:r>
      <w:r>
        <w:rPr>
          <w:rFonts w:ascii="Times New Roman" w:hAnsi="Times New Roman" w:cs="Times New Roman"/>
          <w:b/>
          <w:lang w:val="ca-ES"/>
        </w:rPr>
        <w:t xml:space="preserve"> </w:t>
      </w:r>
      <w:r w:rsidRPr="00FB3FF5">
        <w:rPr>
          <w:rFonts w:ascii="Times New Roman" w:hAnsi="Times New Roman" w:cs="Times New Roman"/>
          <w:b/>
          <w:lang w:val="ca-ES"/>
        </w:rPr>
        <w:t>de novembre del 2020</w:t>
      </w:r>
    </w:p>
    <w:p w14:paraId="6FC0614C" w14:textId="77777777" w:rsidR="006E6D2C" w:rsidRPr="00FB3FF5" w:rsidRDefault="006E6D2C" w:rsidP="00FB3F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ca-ES"/>
        </w:rPr>
      </w:pPr>
    </w:p>
    <w:p w14:paraId="4261823E" w14:textId="77777777" w:rsidR="006A2EE4" w:rsidRPr="00FB3FF5" w:rsidRDefault="006E6D2C" w:rsidP="00FB3FF5">
      <w:pPr>
        <w:jc w:val="both"/>
        <w:outlineLvl w:val="0"/>
        <w:rPr>
          <w:rFonts w:ascii="Times New Roman" w:hAnsi="Times New Roman" w:cs="Times New Roman"/>
          <w:sz w:val="26"/>
          <w:szCs w:val="26"/>
          <w:lang w:val="ca-ES"/>
        </w:rPr>
      </w:pPr>
      <w:r w:rsidRPr="00FB3FF5">
        <w:rPr>
          <w:rFonts w:ascii="Times New Roman" w:hAnsi="Times New Roman" w:cs="Times New Roman"/>
          <w:sz w:val="26"/>
          <w:szCs w:val="26"/>
          <w:lang w:val="ca-ES"/>
        </w:rPr>
        <w:t>FULL DE RESUMS</w:t>
      </w:r>
    </w:p>
    <w:p w14:paraId="31CE5213" w14:textId="77777777" w:rsidR="006E6D2C" w:rsidRPr="00FB3FF5" w:rsidRDefault="006E6D2C" w:rsidP="00FB3FF5">
      <w:pPr>
        <w:jc w:val="both"/>
        <w:outlineLvl w:val="0"/>
        <w:rPr>
          <w:rFonts w:ascii="Times New Roman" w:hAnsi="Times New Roman" w:cs="Times New Roman"/>
          <w:b/>
          <w:lang w:val="ca-ES"/>
        </w:rPr>
      </w:pPr>
    </w:p>
    <w:p w14:paraId="532F7CAA" w14:textId="77777777" w:rsidR="006E6D2C" w:rsidRPr="00FB3FF5" w:rsidRDefault="006E6D2C" w:rsidP="00FB3FF5">
      <w:pPr>
        <w:spacing w:line="276" w:lineRule="auto"/>
        <w:jc w:val="both"/>
        <w:rPr>
          <w:rFonts w:ascii="Times New Roman" w:hAnsi="Times New Roman" w:cs="Times New Roman"/>
          <w:b/>
          <w:lang w:val="ca-ES"/>
        </w:rPr>
      </w:pPr>
      <w:r w:rsidRPr="00FB3FF5">
        <w:rPr>
          <w:rFonts w:ascii="Times New Roman" w:hAnsi="Times New Roman" w:cs="Times New Roman"/>
          <w:b/>
          <w:lang w:val="ca-ES"/>
        </w:rPr>
        <w:t>Dijous</w:t>
      </w:r>
      <w:r w:rsidR="00521BA0" w:rsidRPr="00FB3FF5">
        <w:rPr>
          <w:rFonts w:ascii="Times New Roman" w:hAnsi="Times New Roman" w:cs="Times New Roman"/>
          <w:b/>
          <w:lang w:val="ca-ES"/>
        </w:rPr>
        <w:t xml:space="preserve"> </w:t>
      </w:r>
      <w:r w:rsidR="00FB3FF5" w:rsidRPr="00FB3FF5">
        <w:rPr>
          <w:rFonts w:ascii="Times New Roman" w:hAnsi="Times New Roman" w:cs="Times New Roman"/>
          <w:b/>
          <w:lang w:val="ca-ES"/>
        </w:rPr>
        <w:t>19 de novembre del 2020</w:t>
      </w:r>
      <w:bookmarkStart w:id="0" w:name="_GoBack"/>
      <w:bookmarkEnd w:id="0"/>
    </w:p>
    <w:p w14:paraId="5FCE76D3" w14:textId="77777777" w:rsidR="00FB3FF5" w:rsidRPr="00FB3FF5" w:rsidRDefault="00FB3FF5" w:rsidP="00FB3FF5">
      <w:pPr>
        <w:spacing w:line="276" w:lineRule="auto"/>
        <w:jc w:val="both"/>
        <w:rPr>
          <w:rFonts w:ascii="Times New Roman" w:hAnsi="Times New Roman" w:cs="Times New Roman"/>
          <w:b/>
          <w:lang w:val="ca-ES"/>
        </w:rPr>
      </w:pPr>
    </w:p>
    <w:p w14:paraId="0EB15A2B" w14:textId="77777777" w:rsidR="006E6D2C" w:rsidRPr="00FB3FF5" w:rsidRDefault="00FB3FF5" w:rsidP="00FB3FF5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353430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“Canvis socials i evolució de les polítiques lingüístiques a Catalunya (1979-2020)”</w:t>
      </w:r>
      <w:r w:rsidRPr="00FB3FF5">
        <w:rPr>
          <w:rFonts w:ascii="Times New Roman" w:eastAsia="Times New Roman" w:hAnsi="Times New Roman" w:cs="Times New Roman"/>
          <w:color w:val="353430"/>
          <w:lang w:val="ca-ES" w:eastAsia="es-ES_tradnl"/>
        </w:rPr>
        <w:t> , a càrrec d</w:t>
      </w:r>
      <w:r w:rsidR="00FB3E39">
        <w:rPr>
          <w:rFonts w:ascii="Times New Roman" w:eastAsia="Times New Roman" w:hAnsi="Times New Roman" w:cs="Times New Roman"/>
          <w:color w:val="353430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353430"/>
          <w:lang w:val="ca-ES" w:eastAsia="es-ES_tradnl"/>
        </w:rPr>
        <w:t xml:space="preserve">Avel·lí </w:t>
      </w:r>
      <w:proofErr w:type="spellStart"/>
      <w:r w:rsidRPr="00FB3FF5">
        <w:rPr>
          <w:rFonts w:ascii="Times New Roman" w:eastAsia="Times New Roman" w:hAnsi="Times New Roman" w:cs="Times New Roman"/>
          <w:color w:val="353430"/>
          <w:lang w:val="ca-ES" w:eastAsia="es-ES_tradnl"/>
        </w:rPr>
        <w:t>Flors-Mas</w:t>
      </w:r>
      <w:proofErr w:type="spellEnd"/>
      <w:r w:rsidRPr="00FB3FF5">
        <w:rPr>
          <w:rFonts w:ascii="Times New Roman" w:eastAsia="Times New Roman" w:hAnsi="Times New Roman" w:cs="Times New Roman"/>
          <w:color w:val="353430"/>
          <w:lang w:val="ca-ES" w:eastAsia="es-ES_tradnl"/>
        </w:rPr>
        <w:t>, professor associat de la Universitat de Barcelona i secretari del CUSC-UB</w:t>
      </w:r>
    </w:p>
    <w:p w14:paraId="44DCCB1C" w14:textId="77777777" w:rsidR="006E6D2C" w:rsidRPr="00FB3FF5" w:rsidRDefault="006E6D2C" w:rsidP="00FB3FF5">
      <w:pPr>
        <w:spacing w:line="276" w:lineRule="auto"/>
        <w:jc w:val="both"/>
        <w:rPr>
          <w:rFonts w:ascii="Times New Roman" w:eastAsia="Times New Roman" w:hAnsi="Times New Roman" w:cs="Times New Roman"/>
          <w:color w:val="353430"/>
          <w:shd w:val="clear" w:color="auto" w:fill="FFFFFF"/>
          <w:lang w:val="ca-ES" w:eastAsia="es-ES_tradnl"/>
        </w:rPr>
      </w:pPr>
    </w:p>
    <w:p w14:paraId="6568C072" w14:textId="77777777" w:rsidR="00FB3FF5" w:rsidRPr="00FB3FF5" w:rsidRDefault="00FB3FF5" w:rsidP="00FB3FF5">
      <w:pPr>
        <w:spacing w:line="276" w:lineRule="auto"/>
        <w:jc w:val="both"/>
        <w:rPr>
          <w:rFonts w:ascii="Times New Roman" w:eastAsia="Times New Roman" w:hAnsi="Times New Roman" w:cs="Times New Roman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La societat catalana que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endinsa en la tercera dècada del segle </w:t>
      </w:r>
      <w:r w:rsidRPr="00FB3E39">
        <w:rPr>
          <w:rFonts w:ascii="Times New Roman" w:eastAsia="Times New Roman" w:hAnsi="Times New Roman" w:cs="Times New Roman"/>
          <w:smallCaps/>
          <w:color w:val="222222"/>
          <w:sz w:val="22"/>
          <w:szCs w:val="22"/>
          <w:lang w:val="ca-ES" w:eastAsia="es-ES_tradnl"/>
        </w:rPr>
        <w:t>xxi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 és indubtablement diferent de la de fa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quaranta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 anys, quan es va restablir la Generalitat de Catalunya (1977) i es van aprovar els textos que fixaven el marc jurídic per al desenvolupament de polítiques lingüístiques pròpies: la Constitució espanyola (1978) i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Estatut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Autonomia de Catalunya (1979). Els canvis que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hi han anat succeint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–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ordre polític, econòmic, jurídic o demogràfic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–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 han provocat reajustaments dels principis, els objectius i els mitjans de què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havien dotat aquestes polítiques, i n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han condicionat els resultats i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eficàcia. En la presentació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oferirà una perspectiva global de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evolució de les polítiques lingüístiques impulsades per la Generalitat de Catalunya, es farà balanç dels seus resultats i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identificaran una sèrie de reptes a què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s’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ha de fer front en el futur immeditat i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idees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 xml:space="preserve"> 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  <w:lang w:val="ca-ES" w:eastAsia="es-ES_tradnl"/>
        </w:rPr>
        <w:t>força per abordar-los.</w:t>
      </w:r>
    </w:p>
    <w:p w14:paraId="7EABB5FE" w14:textId="77777777" w:rsidR="000D31C5" w:rsidRPr="00FB3FF5" w:rsidRDefault="000D31C5" w:rsidP="00FB3FF5">
      <w:pPr>
        <w:spacing w:line="276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</w:pPr>
    </w:p>
    <w:p w14:paraId="1C71D6A6" w14:textId="77777777" w:rsidR="000D31C5" w:rsidRPr="00FB3FF5" w:rsidRDefault="000D31C5" w:rsidP="00FB3FF5">
      <w:pPr>
        <w:spacing w:line="276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</w:pPr>
    </w:p>
    <w:p w14:paraId="56445E11" w14:textId="77777777" w:rsidR="000D31C5" w:rsidRPr="00FB3FF5" w:rsidRDefault="000D31C5" w:rsidP="00FB3FF5">
      <w:pPr>
        <w:spacing w:line="276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</w:pPr>
    </w:p>
    <w:p w14:paraId="17D9A21F" w14:textId="77777777" w:rsidR="00785EB1" w:rsidRPr="00FB3FF5" w:rsidRDefault="006E6D2C" w:rsidP="00FB3FF5">
      <w:pPr>
        <w:spacing w:line="276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  <w:t>Divendres</w:t>
      </w:r>
      <w:r w:rsidR="00AA1414" w:rsidRPr="00FB3FF5"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  <w:t xml:space="preserve"> </w:t>
      </w:r>
      <w:r w:rsidR="00FB3FF5" w:rsidRPr="00FB3FF5">
        <w:rPr>
          <w:rFonts w:ascii="Times New Roman" w:eastAsia="Times New Roman" w:hAnsi="Times New Roman" w:cs="Times New Roman"/>
          <w:b/>
          <w:shd w:val="clear" w:color="auto" w:fill="FFFFFF"/>
          <w:lang w:val="ca-ES" w:eastAsia="es-ES_tradnl"/>
        </w:rPr>
        <w:t>20 de novembre del 2020</w:t>
      </w:r>
    </w:p>
    <w:p w14:paraId="132D40FA" w14:textId="77777777" w:rsidR="00785EB1" w:rsidRPr="00FB3FF5" w:rsidRDefault="00785EB1" w:rsidP="00FB3FF5">
      <w:pPr>
        <w:spacing w:line="276" w:lineRule="auto"/>
        <w:jc w:val="both"/>
        <w:rPr>
          <w:rFonts w:ascii="Times New Roman" w:eastAsia="Times New Roman" w:hAnsi="Times New Roman" w:cs="Times New Roman"/>
          <w:color w:val="353430"/>
          <w:shd w:val="clear" w:color="auto" w:fill="FFFFFF"/>
          <w:lang w:val="ca-ES" w:eastAsia="es-ES_tradnl"/>
        </w:rPr>
      </w:pPr>
    </w:p>
    <w:p w14:paraId="4A2275C3" w14:textId="77777777" w:rsidR="00FB3FF5" w:rsidRPr="00FB3FF5" w:rsidRDefault="00FB3FF5" w:rsidP="00FB3FF5">
      <w:pPr>
        <w:spacing w:line="276" w:lineRule="auto"/>
        <w:jc w:val="both"/>
        <w:rPr>
          <w:rFonts w:ascii="Times New Roman" w:eastAsia="Times New Roman" w:hAnsi="Times New Roman" w:cs="Times New Roman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“Les accions de política lingüística del binomi Estat-telecomunicacions: com s</w:t>
      </w:r>
      <w:r w:rsidR="00FB3E39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exclou la immigració per raons de llengua”</w:t>
      </w:r>
      <w:r w:rsidRPr="00FB3FF5">
        <w:rPr>
          <w:rFonts w:ascii="Times New Roman" w:eastAsia="Times New Roman" w:hAnsi="Times New Roman" w:cs="Times New Roman"/>
          <w:color w:val="353430"/>
          <w:shd w:val="clear" w:color="auto" w:fill="FFFFFF"/>
          <w:lang w:val="ca-ES" w:eastAsia="es-ES_tradnl"/>
        </w:rPr>
        <w:t>, a càrrec de Maria Sabaté-Dalmau, professora de la Universitat de Lleida i vocal de la SOCS</w:t>
      </w:r>
    </w:p>
    <w:p w14:paraId="270C837F" w14:textId="77777777" w:rsidR="006E6D2C" w:rsidRPr="00FB3FF5" w:rsidRDefault="006E6D2C" w:rsidP="00FB3FF5">
      <w:pPr>
        <w:spacing w:line="276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14:paraId="261D67D2" w14:textId="77777777" w:rsidR="00FB3FF5" w:rsidRPr="00FB3FF5" w:rsidRDefault="00FB3FF5" w:rsidP="00FB3FF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a-ES"/>
        </w:rPr>
      </w:pPr>
      <w:r w:rsidRPr="00FB3FF5">
        <w:rPr>
          <w:rFonts w:ascii="Times New Roman" w:hAnsi="Times New Roman" w:cs="Times New Roman"/>
          <w:sz w:val="22"/>
          <w:szCs w:val="22"/>
          <w:lang w:val="ca-ES"/>
        </w:rPr>
        <w:t>Partint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un enfocament sociolingüístic crític, en aquesta ponència argumentem que a Catalunya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accés a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estat de dret està subjecte a un ens </w:t>
      </w:r>
      <w:proofErr w:type="spellStart"/>
      <w:r w:rsidRPr="00FB3FF5">
        <w:rPr>
          <w:rFonts w:ascii="Times New Roman" w:hAnsi="Times New Roman" w:cs="Times New Roman"/>
          <w:sz w:val="22"/>
          <w:szCs w:val="22"/>
          <w:lang w:val="ca-ES"/>
        </w:rPr>
        <w:t>tecnopolític</w:t>
      </w:r>
      <w:proofErr w:type="spellEnd"/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</w:t>
      </w:r>
      <w:proofErr w:type="spellStart"/>
      <w:r w:rsidRPr="00FB3FF5">
        <w:rPr>
          <w:rFonts w:ascii="Times New Roman" w:hAnsi="Times New Roman" w:cs="Times New Roman"/>
          <w:sz w:val="22"/>
          <w:szCs w:val="22"/>
          <w:lang w:val="ca-ES"/>
        </w:rPr>
        <w:t>público</w:t>
      </w:r>
      <w:proofErr w:type="spellEnd"/>
      <w:r w:rsidRPr="00FB3FF5">
        <w:rPr>
          <w:rFonts w:ascii="Times New Roman" w:hAnsi="Times New Roman" w:cs="Times New Roman"/>
          <w:sz w:val="22"/>
          <w:szCs w:val="22"/>
          <w:lang w:val="ca-ES"/>
        </w:rPr>
        <w:t>-privat format per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Estat, que dicta en quines llengües s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accedeix a la plena ciutadania, i el sector de les telecomunicacions, que controla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accés a les TIC i les llengües del mercat. Mitjançant entrevistes i dades sobre usos lingüístics de trenta operadores, analitzem una acció de política lingüística migratòria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aquest binomi, la Llei estatal 25/2007, de 18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octubre, de conservació de dades relatives a les comunicacions electròniques i a les xarxes públiques de comunicacions. I mostrem com aquesta llei va permetre desactivar quinze milions de mòbils de persones indocumentades, va establir una 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lastRenderedPageBreak/>
        <w:t xml:space="preserve">seu electrònica per realitzar tràmits administratius referents a la migració només en castellà i va proporcionar a les operadores mecanismes perquè funcionessin </w:t>
      </w:r>
      <w:r w:rsidRPr="00FB3FF5">
        <w:rPr>
          <w:rFonts w:ascii="Times New Roman" w:hAnsi="Times New Roman" w:cs="Times New Roman"/>
          <w:i/>
          <w:sz w:val="22"/>
          <w:szCs w:val="22"/>
          <w:lang w:val="ca-ES"/>
        </w:rPr>
        <w:t>de facto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en aquesta llengua. Així, aquest 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‘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tàndem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va imposar un règim monolingüe en castellà com la llengua de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estat de dret, i mostra que els estats nació exerceixen la </w:t>
      </w:r>
      <w:proofErr w:type="spellStart"/>
      <w:r w:rsidRPr="00FB3FF5">
        <w:rPr>
          <w:rFonts w:ascii="Times New Roman" w:hAnsi="Times New Roman" w:cs="Times New Roman"/>
          <w:sz w:val="22"/>
          <w:szCs w:val="22"/>
          <w:lang w:val="ca-ES"/>
        </w:rPr>
        <w:t>governança</w:t>
      </w:r>
      <w:proofErr w:type="spellEnd"/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amb polítiques lingüístiques que sustenten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exclusió social per raó de llengua.       </w:t>
      </w:r>
    </w:p>
    <w:p w14:paraId="51249E1B" w14:textId="77777777" w:rsidR="00FB3FF5" w:rsidRPr="00FB3FF5" w:rsidRDefault="00FB3FF5" w:rsidP="00FB3FF5">
      <w:pPr>
        <w:spacing w:line="276" w:lineRule="auto"/>
        <w:jc w:val="both"/>
        <w:rPr>
          <w:rFonts w:ascii="Times New Roman" w:hAnsi="Times New Roman" w:cs="Times New Roman"/>
          <w:lang w:val="ca-ES"/>
        </w:rPr>
      </w:pPr>
      <w:r w:rsidRPr="00FB3FF5">
        <w:rPr>
          <w:rFonts w:ascii="Times New Roman" w:hAnsi="Times New Roman" w:cs="Times New Roman"/>
          <w:lang w:val="ca-ES"/>
        </w:rPr>
        <w:t xml:space="preserve">    </w:t>
      </w:r>
      <w:r w:rsidR="00FB3E39">
        <w:rPr>
          <w:rFonts w:ascii="Times New Roman" w:hAnsi="Times New Roman" w:cs="Times New Roman"/>
          <w:lang w:val="ca-ES"/>
        </w:rPr>
        <w:br/>
      </w:r>
    </w:p>
    <w:p w14:paraId="04D26234" w14:textId="3D187357" w:rsidR="00FB3FF5" w:rsidRPr="00FB3FF5" w:rsidRDefault="00FB3FF5" w:rsidP="00FB3FF5">
      <w:pPr>
        <w:spacing w:line="276" w:lineRule="auto"/>
        <w:jc w:val="both"/>
        <w:rPr>
          <w:rFonts w:ascii="Times New Roman" w:eastAsia="Times New Roman" w:hAnsi="Times New Roman" w:cs="Times New Roman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“Els joves i la política lingüística”</w:t>
      </w:r>
      <w:r w:rsidRPr="00FB3FF5">
        <w:rPr>
          <w:rFonts w:ascii="Times New Roman" w:eastAsia="Times New Roman" w:hAnsi="Times New Roman" w:cs="Times New Roman"/>
          <w:color w:val="353430"/>
          <w:shd w:val="clear" w:color="auto" w:fill="FFFFFF"/>
          <w:lang w:val="ca-ES" w:eastAsia="es-ES_tradnl"/>
        </w:rPr>
        <w:t> , a càrrec de Marina Massaguer, investigadora del CUSC-UB i de la UOC</w:t>
      </w:r>
    </w:p>
    <w:p w14:paraId="160E2A0D" w14:textId="77777777" w:rsidR="00785EB1" w:rsidRPr="00FB3FF5" w:rsidRDefault="00785EB1" w:rsidP="00FB3FF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ca-ES" w:eastAsia="es-ES_tradnl"/>
        </w:rPr>
      </w:pPr>
    </w:p>
    <w:p w14:paraId="3870014D" w14:textId="1BC11B11" w:rsidR="00FB3FF5" w:rsidRPr="00FB3FF5" w:rsidRDefault="00FB3FF5" w:rsidP="00FB3FF5">
      <w:pPr>
        <w:spacing w:line="276" w:lineRule="auto"/>
        <w:jc w:val="both"/>
        <w:rPr>
          <w:rFonts w:ascii="Times New Roman" w:hAnsi="Times New Roman" w:cs="Times New Roman"/>
          <w:lang w:val="ca-ES"/>
        </w:rPr>
      </w:pPr>
      <w:r w:rsidRPr="00FB3FF5">
        <w:rPr>
          <w:rFonts w:ascii="Times New Roman" w:hAnsi="Times New Roman" w:cs="Times New Roman"/>
          <w:sz w:val="22"/>
          <w:szCs w:val="22"/>
          <w:lang w:val="ca-ES"/>
        </w:rPr>
        <w:t>Després de quaranta anys de polítiques de revitalització lingüística, quins han estat els efectes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aquestes polítiques entre la població juvenil? Les dades de l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Enquesta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Usos Lingüístics de la Població del 2018 indiquen que</w:t>
      </w:r>
      <w:r w:rsidR="006B2B96">
        <w:rPr>
          <w:rFonts w:ascii="Times New Roman" w:hAnsi="Times New Roman" w:cs="Times New Roman"/>
          <w:sz w:val="22"/>
          <w:szCs w:val="22"/>
          <w:lang w:val="ca-ES"/>
        </w:rPr>
        <w:t>, en el conjunt de Catalunya,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un 35% dels joves tenen el català com a llengua habitual, mentre que un percentatge molt més elevat, al voltant del 90%, declara saber-lo parlar. La categoria 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“joves”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agrupa perfils de parlants ben diversos pel que fa a trajectòries personals, entorns socials, interessos i maneres de relacionar-se amb la llengua catalana. Així, el grau d</w:t>
      </w:r>
      <w:r w:rsidR="00FB3E39">
        <w:rPr>
          <w:rFonts w:ascii="Times New Roman" w:hAnsi="Times New Roman" w:cs="Times New Roman"/>
          <w:sz w:val="22"/>
          <w:szCs w:val="22"/>
          <w:lang w:val="ca-ES"/>
        </w:rPr>
        <w:t>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accés al català col·loquial, els significats socials atribuïts a les diferents maneres de parlar i la identificació amb uns grups socials o uns altres condicionen la trajectòria lingüística de cada jove. Tenint en compte això, en aquesta conferència</w:t>
      </w:r>
      <w:r w:rsidR="00355D82">
        <w:rPr>
          <w:rFonts w:ascii="Times New Roman" w:hAnsi="Times New Roman" w:cs="Times New Roman"/>
          <w:sz w:val="22"/>
          <w:szCs w:val="22"/>
          <w:lang w:val="ca-ES"/>
        </w:rPr>
        <w:t xml:space="preserve"> es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resseguir</w:t>
      </w:r>
      <w:r w:rsidR="00355D82">
        <w:rPr>
          <w:rFonts w:ascii="Times New Roman" w:hAnsi="Times New Roman" w:cs="Times New Roman"/>
          <w:sz w:val="22"/>
          <w:szCs w:val="22"/>
          <w:lang w:val="ca-ES"/>
        </w:rPr>
        <w:t>an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, en primer lloc, les aportacions de la recerca sociolingüística pel que fa a la relació de diferents perfils de joves amb la llengua catalana </w:t>
      </w:r>
      <w:bookmarkStart w:id="1" w:name="_Hlk55234243"/>
      <w:r w:rsidRPr="00FB3FF5">
        <w:rPr>
          <w:rFonts w:ascii="Times New Roman" w:hAnsi="Times New Roman" w:cs="Times New Roman"/>
          <w:sz w:val="22"/>
          <w:szCs w:val="22"/>
          <w:lang w:val="ca-ES"/>
        </w:rPr>
        <w:t>–</w:t>
      </w:r>
      <w:bookmarkEnd w:id="1"/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i, per extensió, amb la política lingüística. I, en segon lloc, </w:t>
      </w:r>
      <w:r w:rsidR="00355D82">
        <w:rPr>
          <w:rFonts w:ascii="Times New Roman" w:hAnsi="Times New Roman" w:cs="Times New Roman"/>
          <w:sz w:val="22"/>
          <w:szCs w:val="22"/>
          <w:lang w:val="ca-ES"/>
        </w:rPr>
        <w:t>s’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>apuntar</w:t>
      </w:r>
      <w:r w:rsidR="00355D82">
        <w:rPr>
          <w:rFonts w:ascii="Times New Roman" w:hAnsi="Times New Roman" w:cs="Times New Roman"/>
          <w:sz w:val="22"/>
          <w:szCs w:val="22"/>
          <w:lang w:val="ca-ES"/>
        </w:rPr>
        <w:t>an</w:t>
      </w:r>
      <w:r w:rsidRPr="00FB3FF5">
        <w:rPr>
          <w:rFonts w:ascii="Times New Roman" w:hAnsi="Times New Roman" w:cs="Times New Roman"/>
          <w:sz w:val="22"/>
          <w:szCs w:val="22"/>
          <w:lang w:val="ca-ES"/>
        </w:rPr>
        <w:t xml:space="preserve"> algunes propostes partint de la premissa que cal plantejar les polítiques lingüístiques com a polítiques socials en benefici de tots els individus que integren la comunitat</w:t>
      </w:r>
      <w:r w:rsidRPr="00FB3FF5">
        <w:rPr>
          <w:rFonts w:ascii="Times New Roman" w:hAnsi="Times New Roman" w:cs="Times New Roman"/>
          <w:lang w:val="ca-ES"/>
        </w:rPr>
        <w:t>.</w:t>
      </w:r>
    </w:p>
    <w:p w14:paraId="3BEEB2E0" w14:textId="77777777" w:rsidR="00D86DCF" w:rsidRPr="00FB3FF5" w:rsidRDefault="00FB2E99" w:rsidP="00FB3FF5">
      <w:pPr>
        <w:spacing w:line="276" w:lineRule="auto"/>
        <w:jc w:val="both"/>
        <w:rPr>
          <w:rFonts w:ascii="Times New Roman" w:hAnsi="Times New Roman" w:cs="Times New Roman"/>
          <w:lang w:val="ca-ES"/>
        </w:rPr>
      </w:pPr>
    </w:p>
    <w:p w14:paraId="4F51154A" w14:textId="77777777" w:rsidR="00785EB1" w:rsidRPr="00FB3FF5" w:rsidRDefault="00785EB1" w:rsidP="00FB3FF5">
      <w:pPr>
        <w:spacing w:line="276" w:lineRule="auto"/>
        <w:jc w:val="both"/>
        <w:rPr>
          <w:rFonts w:ascii="Times New Roman" w:hAnsi="Times New Roman" w:cs="Times New Roman"/>
          <w:lang w:val="ca-ES"/>
        </w:rPr>
      </w:pPr>
    </w:p>
    <w:p w14:paraId="74AA9085" w14:textId="77777777" w:rsidR="00FB3FF5" w:rsidRPr="00FB3FF5" w:rsidRDefault="00FB3FF5" w:rsidP="00FB3FF5">
      <w:pPr>
        <w:spacing w:line="276" w:lineRule="auto"/>
        <w:jc w:val="both"/>
        <w:rPr>
          <w:rFonts w:ascii="Times New Roman" w:eastAsia="Times New Roman" w:hAnsi="Times New Roman" w:cs="Times New Roman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 xml:space="preserve">“Els usos lingüístics als </w:t>
      </w:r>
      <w:r w:rsidR="00FB3E39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c</w:t>
      </w: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 xml:space="preserve">onsells de </w:t>
      </w:r>
      <w:r w:rsidR="00FB3E39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b</w:t>
      </w:r>
      <w:r w:rsidRPr="00FB3FF5">
        <w:rPr>
          <w:rFonts w:ascii="Times New Roman" w:eastAsia="Times New Roman" w:hAnsi="Times New Roman" w:cs="Times New Roman"/>
          <w:b/>
          <w:bCs/>
          <w:color w:val="353430"/>
          <w:lang w:val="ca-ES" w:eastAsia="es-ES_tradnl"/>
        </w:rPr>
        <w:t>arri de Barcelona. Integració o exclusió?"</w:t>
      </w:r>
      <w:r w:rsidRPr="00FB3FF5">
        <w:rPr>
          <w:rFonts w:ascii="Times New Roman" w:eastAsia="Times New Roman" w:hAnsi="Times New Roman" w:cs="Times New Roman"/>
          <w:color w:val="353430"/>
          <w:shd w:val="clear" w:color="auto" w:fill="FFFFFF"/>
          <w:lang w:val="ca-ES" w:eastAsia="es-ES_tradnl"/>
        </w:rPr>
        <w:t>, a càrrec de Vicent Climent-Ferrando, professor de la UPF i membre de la Càtedra UNESCO de Polítiques Lingüístiques per al Multilingüisme</w:t>
      </w:r>
    </w:p>
    <w:p w14:paraId="4E7739F3" w14:textId="77777777" w:rsidR="006A2EE4" w:rsidRPr="00FB3FF5" w:rsidRDefault="006A2EE4" w:rsidP="00FB3FF5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lang w:val="ca-ES" w:eastAsia="es-ES_tradnl"/>
        </w:rPr>
      </w:pPr>
    </w:p>
    <w:p w14:paraId="4EF6EE07" w14:textId="77777777" w:rsidR="00FB3FF5" w:rsidRPr="00FB3FF5" w:rsidRDefault="00FB3FF5" w:rsidP="00FB3FF5">
      <w:pPr>
        <w:spacing w:after="160" w:line="276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</w:pP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Els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c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onsells de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b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arri de Barcelona representen la unitat de participació cívica més propera a la ciutadania, un espai en què tothom, independentment de nacionalitat, origen o llengua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,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pot actuar o decidir sobre la gestió de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espai públic més proper. Són espais, per tant, de participació ciutadana i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de 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cohesió social. La cohesió social té una dimensió lingüística incontestable. El coneixement o desconeixement de la llengua pot determinar el grau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implicació cívica de la immigració en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espai públic. Cal, per tant, una gestió de la diversitat que situï la llengua pròpia com a eina vertebradora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una comunitat heterogènia. </w:t>
      </w:r>
    </w:p>
    <w:p w14:paraId="721658B5" w14:textId="77777777" w:rsidR="00FC3C83" w:rsidRPr="00FB3FF5" w:rsidRDefault="00FB3FF5" w:rsidP="00FB3E39">
      <w:pPr>
        <w:spacing w:after="160" w:line="276" w:lineRule="auto"/>
        <w:jc w:val="both"/>
        <w:rPr>
          <w:rFonts w:ascii="Times New Roman" w:hAnsi="Times New Roman" w:cs="Times New Roman"/>
          <w:lang w:val="ca-ES"/>
        </w:rPr>
      </w:pP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objectiu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aquesta ponència és presentar els primers resultats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un estudi pilot sobre els usos lingüístics als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c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onsells de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b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arri de Barcelona i, de manera més genèrica, analitzar la gestió de la diversitat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en una estructura de participació ciutadana com els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c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onsells de 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b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arri.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estudi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, que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va més enllà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una descripció sociolingüística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,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parteix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un enfocament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anàlisi sociològic</w:t>
      </w:r>
      <w:r w:rsidR="00EA5C7C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i </w:t>
      </w:r>
      <w:proofErr w:type="spellStart"/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politològic</w:t>
      </w:r>
      <w:r w:rsidR="00EA5C7C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a</w:t>
      </w:r>
      <w:proofErr w:type="spellEnd"/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de les llengües</w:t>
      </w:r>
      <w:r w:rsidR="00EA5C7C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,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perquè analitza els usos lingüístics juntament amb el seu context social i polític. Aquest estudi s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emmarca en un treball de recerca més ampli sobre la participació cívica de la immigració </w:t>
      </w:r>
      <w:r w:rsidR="00EA5C7C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en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 xml:space="preserve"> les estructures de participació ciutadana en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àmbit urbà, dut a terme en el marc per la Càtedra UNESCO de Polítiques Lingüístiques per al Multilingüisme (UPF) i l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Institut Barcelona d</w:t>
      </w:r>
      <w:r w:rsidR="00FB3E39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’</w:t>
      </w:r>
      <w:r w:rsidRPr="00FB3FF5">
        <w:rPr>
          <w:rFonts w:ascii="Times New Roman" w:eastAsia="Times New Roman" w:hAnsi="Times New Roman" w:cs="Times New Roman"/>
          <w:color w:val="222222"/>
          <w:sz w:val="22"/>
          <w:szCs w:val="22"/>
          <w:lang w:val="ca-ES" w:eastAsia="es-ES_tradnl"/>
        </w:rPr>
        <w:t>Estudis Internacionals (IBEI). </w:t>
      </w:r>
    </w:p>
    <w:p w14:paraId="5E56139C" w14:textId="77777777" w:rsidR="00FC3C83" w:rsidRPr="00FB3FF5" w:rsidRDefault="00FC3C83" w:rsidP="00FB3FF5">
      <w:pPr>
        <w:spacing w:line="276" w:lineRule="auto"/>
        <w:rPr>
          <w:rFonts w:ascii="Times New Roman" w:hAnsi="Times New Roman" w:cs="Times New Roman"/>
          <w:lang w:val="ca-ES"/>
        </w:rPr>
      </w:pPr>
    </w:p>
    <w:sectPr w:rsidR="00FC3C83" w:rsidRPr="00FB3FF5" w:rsidSect="00E0176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B1"/>
    <w:rsid w:val="000D31C5"/>
    <w:rsid w:val="001630ED"/>
    <w:rsid w:val="001F5661"/>
    <w:rsid w:val="002D231B"/>
    <w:rsid w:val="00355D82"/>
    <w:rsid w:val="00521BA0"/>
    <w:rsid w:val="005C0E72"/>
    <w:rsid w:val="006A2EE4"/>
    <w:rsid w:val="006B2B96"/>
    <w:rsid w:val="006E6D2C"/>
    <w:rsid w:val="00736292"/>
    <w:rsid w:val="00785EB1"/>
    <w:rsid w:val="0096285E"/>
    <w:rsid w:val="00994662"/>
    <w:rsid w:val="00AA1414"/>
    <w:rsid w:val="00B81BDD"/>
    <w:rsid w:val="00BB409D"/>
    <w:rsid w:val="00E01764"/>
    <w:rsid w:val="00E10FBB"/>
    <w:rsid w:val="00EA5C7C"/>
    <w:rsid w:val="00EB581B"/>
    <w:rsid w:val="00F334A4"/>
    <w:rsid w:val="00FB2E99"/>
    <w:rsid w:val="00FB3E39"/>
    <w:rsid w:val="00FB3FF5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F585"/>
  <w15:docId w15:val="{55666DEE-22A8-4E52-90DD-B124FA7E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09D"/>
  </w:style>
  <w:style w:type="paragraph" w:styleId="Ttulo2">
    <w:name w:val="heading 2"/>
    <w:basedOn w:val="Normal"/>
    <w:link w:val="Ttulo2Car"/>
    <w:uiPriority w:val="9"/>
    <w:qFormat/>
    <w:rsid w:val="00FB3F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C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FC3C8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FF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FF5"/>
    <w:rPr>
      <w:rFonts w:ascii="Times New Roman" w:hAnsi="Times New Roman" w:cs="Times New Roman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B3FF5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styleId="Textoennegrita">
    <w:name w:val="Strong"/>
    <w:basedOn w:val="Fuentedeprrafopredeter"/>
    <w:uiPriority w:val="22"/>
    <w:qFormat/>
    <w:rsid w:val="00FB3FF5"/>
    <w:rPr>
      <w:b/>
      <w:bCs/>
    </w:rPr>
  </w:style>
  <w:style w:type="character" w:customStyle="1" w:styleId="apple-converted-space">
    <w:name w:val="apple-converted-space"/>
    <w:basedOn w:val="Fuentedeprrafopredeter"/>
    <w:rsid w:val="00FB3FF5"/>
  </w:style>
  <w:style w:type="character" w:styleId="Refdecomentario">
    <w:name w:val="annotation reference"/>
    <w:basedOn w:val="Fuentedeprrafopredeter"/>
    <w:uiPriority w:val="99"/>
    <w:semiHidden/>
    <w:unhideWhenUsed/>
    <w:rsid w:val="00FB3F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3FF5"/>
    <w:pPr>
      <w:spacing w:after="200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3FF5"/>
    <w:rPr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5056</Characters>
  <Application>Microsoft Office Word</Application>
  <DocSecurity>0</DocSecurity>
  <Lines>158</Lines>
  <Paragraphs>176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Laia Vidal Sabanés</dc:creator>
  <cp:lastModifiedBy>Laia Vidal Sabanés</cp:lastModifiedBy>
  <cp:revision>2</cp:revision>
  <cp:lastPrinted>2019-11-06T12:23:00Z</cp:lastPrinted>
  <dcterms:created xsi:type="dcterms:W3CDTF">2020-11-16T09:46:00Z</dcterms:created>
  <dcterms:modified xsi:type="dcterms:W3CDTF">2020-11-16T09:46:00Z</dcterms:modified>
</cp:coreProperties>
</file>