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8C274" w14:textId="77777777" w:rsidR="00A94B07" w:rsidRPr="00A94B07" w:rsidRDefault="00A94B07" w:rsidP="00A94B07">
      <w:r w:rsidRPr="00A94B07">
        <w:rPr>
          <w:b/>
          <w:bCs/>
        </w:rPr>
        <w:t xml:space="preserve">Núm. d’expedient: </w:t>
      </w:r>
      <w:r w:rsidR="008146D7">
        <w:t>15/1990</w:t>
      </w:r>
    </w:p>
    <w:p w14:paraId="3D98CBB6" w14:textId="77777777" w:rsidR="00A94B07" w:rsidRPr="00A94B07" w:rsidRDefault="00A94B07" w:rsidP="00A94B07">
      <w:r w:rsidRPr="00A94B07">
        <w:rPr>
          <w:b/>
          <w:bCs/>
        </w:rPr>
        <w:t>Assumpte:</w:t>
      </w:r>
      <w:r w:rsidRPr="00A94B07">
        <w:t xml:space="preserve"> Projecte de reglament de l’Institut Interuniversitari d’Estudis Orientals</w:t>
      </w:r>
    </w:p>
    <w:p w14:paraId="29CBCA6D" w14:textId="77777777" w:rsidR="00A94B07" w:rsidRPr="00A94B07" w:rsidRDefault="00A94B07" w:rsidP="00A94B07">
      <w:r w:rsidRPr="00A94B07">
        <w:rPr>
          <w:b/>
          <w:bCs/>
        </w:rPr>
        <w:t>Sol·licitant:</w:t>
      </w:r>
      <w:r w:rsidRPr="00A94B07">
        <w:t xml:space="preserve"> Institut d’Estudis Interuniversitaris d’Estudis Orientals</w:t>
      </w:r>
    </w:p>
    <w:p w14:paraId="0A21921D" w14:textId="77777777" w:rsidR="00A94B07" w:rsidRPr="00A94B07" w:rsidRDefault="00A94B07" w:rsidP="00A94B07"/>
    <w:p w14:paraId="44EF2632" w14:textId="77777777" w:rsidR="00A94B07" w:rsidRPr="00A94B07" w:rsidRDefault="00A94B07" w:rsidP="00A94B07"/>
    <w:p w14:paraId="259926D4" w14:textId="77777777" w:rsidR="00A94B07" w:rsidRPr="00A94B07" w:rsidRDefault="00A94B07" w:rsidP="00A94B07">
      <w:r w:rsidRPr="00A94B07">
        <w:t>Després de tenir en compte les disposicions legals que són aplicables en aquest cas, emeto el següent</w:t>
      </w:r>
    </w:p>
    <w:p w14:paraId="7F73649C" w14:textId="77777777" w:rsidR="00A94B07" w:rsidRPr="00A94B07" w:rsidRDefault="00A94B07" w:rsidP="00A94B07"/>
    <w:p w14:paraId="08E7AD76" w14:textId="77777777" w:rsidR="00A94B07" w:rsidRPr="00A94B07" w:rsidRDefault="00A94B07" w:rsidP="00A94B07">
      <w:r w:rsidRPr="00A94B07">
        <w:rPr>
          <w:b/>
          <w:bCs/>
        </w:rPr>
        <w:t>INFORME</w:t>
      </w:r>
    </w:p>
    <w:p w14:paraId="3AF633DA" w14:textId="77777777" w:rsidR="00A94B07" w:rsidRPr="00A94B07" w:rsidRDefault="00A94B07" w:rsidP="00A94B07"/>
    <w:p w14:paraId="122FFD94" w14:textId="77777777" w:rsidR="00A94B07" w:rsidRPr="00A94B07" w:rsidRDefault="00A94B07" w:rsidP="00A94B07">
      <w:r w:rsidRPr="00A94B07">
        <w:t>Primer: Règim jurídic</w:t>
      </w:r>
    </w:p>
    <w:p w14:paraId="561FBFE6" w14:textId="77777777" w:rsidR="00A94B07" w:rsidRPr="00A94B07" w:rsidRDefault="00A94B07" w:rsidP="00A94B07"/>
    <w:p w14:paraId="1B11D00B" w14:textId="77777777" w:rsidR="00A94B07" w:rsidRPr="00A94B07" w:rsidRDefault="00A94B07" w:rsidP="00A94B07">
      <w:r w:rsidRPr="00A94B07">
        <w:t>El règim jurídic dels instituts interuniversitaris, creats conjuntament per la Universitat de Barcelona i amb la seva participació, està contingut en els preceptes següents:</w:t>
      </w:r>
    </w:p>
    <w:p w14:paraId="156708A5" w14:textId="77777777" w:rsidR="00A94B07" w:rsidRPr="00A94B07" w:rsidRDefault="00A94B07" w:rsidP="00A94B07"/>
    <w:p w14:paraId="2CC362D5" w14:textId="77777777" w:rsidR="00A94B07" w:rsidRPr="00A94B07" w:rsidRDefault="00A94B07" w:rsidP="00A94B07">
      <w:r w:rsidRPr="00A94B07">
        <w:rPr>
          <w:i/>
          <w:iCs/>
        </w:rPr>
        <w:t>a</w:t>
      </w:r>
      <w:r w:rsidRPr="00A94B07">
        <w:t>) Els articles 7, 10 i 11 de la Llei orgànica 11/1983, de 25 d’agost, de reforma universitària.</w:t>
      </w:r>
    </w:p>
    <w:p w14:paraId="5EB34464" w14:textId="77777777" w:rsidR="00A94B07" w:rsidRPr="00A94B07" w:rsidRDefault="00A94B07" w:rsidP="00A94B07"/>
    <w:p w14:paraId="1E53A751" w14:textId="77777777" w:rsidR="00A94B07" w:rsidRPr="00A94B07" w:rsidRDefault="00A94B07" w:rsidP="00A94B07">
      <w:r w:rsidRPr="00A94B07">
        <w:rPr>
          <w:i/>
          <w:iCs/>
        </w:rPr>
        <w:t>b</w:t>
      </w:r>
      <w:r w:rsidRPr="00A94B07">
        <w:t xml:space="preserve">) Els articles </w:t>
      </w:r>
      <w:smartTag w:uri="urn:schemas-microsoft-com:office:smarttags" w:element="metricconverter">
        <w:smartTagPr>
          <w:attr w:name="ProductID" w:val="46 a"/>
        </w:smartTagPr>
        <w:r w:rsidRPr="00A94B07">
          <w:t>46 a</w:t>
        </w:r>
      </w:smartTag>
      <w:r w:rsidRPr="00A94B07">
        <w:t xml:space="preserve"> 54 dels Estatuts de la Universitat de Barcelona.</w:t>
      </w:r>
    </w:p>
    <w:p w14:paraId="0A4692FD" w14:textId="77777777" w:rsidR="00A94B07" w:rsidRPr="00A94B07" w:rsidRDefault="00A94B07" w:rsidP="00A94B07"/>
    <w:p w14:paraId="5081AF1A" w14:textId="77777777" w:rsidR="00A94B07" w:rsidRPr="00A94B07" w:rsidRDefault="00A94B07" w:rsidP="00A94B07">
      <w:r w:rsidRPr="00A94B07">
        <w:rPr>
          <w:i/>
          <w:iCs/>
        </w:rPr>
        <w:t>c</w:t>
      </w:r>
      <w:r w:rsidRPr="00A94B07">
        <w:t>) La normativa aprovada per la Junta de Govern de la Universitat de Barcelona en data 13 de març de 1989, de tramitació de sol·licituds per a la creació d’instituts i centres de recerca.</w:t>
      </w:r>
    </w:p>
    <w:p w14:paraId="1A276552" w14:textId="77777777" w:rsidR="00A94B07" w:rsidRPr="00A94B07" w:rsidRDefault="00A94B07" w:rsidP="00A94B07"/>
    <w:p w14:paraId="7466AB57" w14:textId="77777777" w:rsidR="00A94B07" w:rsidRPr="00A94B07" w:rsidRDefault="00A94B07" w:rsidP="00A94B07">
      <w:r w:rsidRPr="00A94B07">
        <w:t>Segon: Control de la legalitat</w:t>
      </w:r>
    </w:p>
    <w:p w14:paraId="21C81D6C" w14:textId="77777777" w:rsidR="00A94B07" w:rsidRPr="00A94B07" w:rsidRDefault="00A94B07" w:rsidP="00A94B07"/>
    <w:p w14:paraId="151D729B" w14:textId="77777777" w:rsidR="00A94B07" w:rsidRPr="00A94B07" w:rsidRDefault="00A94B07" w:rsidP="00A94B07">
      <w:r w:rsidRPr="00A94B07">
        <w:t>Un cop estudiat detingudament el projecte de reglament, s’ha establert que les qüestions següents no s’ajusten a dret:</w:t>
      </w:r>
    </w:p>
    <w:p w14:paraId="25C26AE5" w14:textId="77777777" w:rsidR="00A94B07" w:rsidRPr="00A94B07" w:rsidRDefault="00A94B07" w:rsidP="00A94B07"/>
    <w:p w14:paraId="2E8B8AB7" w14:textId="77777777" w:rsidR="00A94B07" w:rsidRPr="00A94B07" w:rsidRDefault="00A94B07" w:rsidP="00A94B07">
      <w:r w:rsidRPr="00A94B07">
        <w:t xml:space="preserve">1. De la redacció de l’article 3 se’n desprèn la participació obligada de la Universitat de Barcelona en el finançament de les despeses de l’Institut. </w:t>
      </w:r>
    </w:p>
    <w:p w14:paraId="3A5558CF" w14:textId="77777777" w:rsidR="00A94B07" w:rsidRPr="00A94B07" w:rsidRDefault="00A94B07" w:rsidP="00A94B07"/>
    <w:p w14:paraId="773CDE3A" w14:textId="77777777" w:rsidR="00A94B07" w:rsidRPr="00A94B07" w:rsidRDefault="00A94B07" w:rsidP="00A94B07">
      <w:r w:rsidRPr="00A94B07">
        <w:t>Aquesta disposició entra en contradicció amb l’article 3 de la normativa aprovada per la Junta de Govern, que textualment disposa:</w:t>
      </w:r>
    </w:p>
    <w:p w14:paraId="75265FE3" w14:textId="77777777" w:rsidR="00A94B07" w:rsidRPr="00A94B07" w:rsidRDefault="00A94B07" w:rsidP="00A94B07"/>
    <w:p w14:paraId="5C397B61" w14:textId="77777777" w:rsidR="00A94B07" w:rsidRPr="00A94B07" w:rsidRDefault="00A94B07" w:rsidP="00A94B07">
      <w:r w:rsidRPr="00A94B07">
        <w:t>«La Universitat no participarà en les despeses específiques de l’Institut, llevat d’algun cas excepcional que s’haurà de qualificar i quantificar en forma expressa i raonada abans que la Universitat, si s’escau, ho accepti.»</w:t>
      </w:r>
    </w:p>
    <w:p w14:paraId="243F1214" w14:textId="77777777" w:rsidR="00A94B07" w:rsidRPr="00A94B07" w:rsidRDefault="00A94B07" w:rsidP="00A94B07"/>
    <w:p w14:paraId="22A55AF1" w14:textId="77777777" w:rsidR="00A94B07" w:rsidRPr="00A94B07" w:rsidRDefault="00A94B07" w:rsidP="00A94B07">
      <w:r w:rsidRPr="00A94B07">
        <w:t xml:space="preserve">2. Als paràgrafs </w:t>
      </w:r>
      <w:r w:rsidRPr="00A94B07">
        <w:rPr>
          <w:i/>
          <w:iCs/>
        </w:rPr>
        <w:t>a</w:t>
      </w:r>
      <w:r w:rsidRPr="00A94B07">
        <w:t xml:space="preserve"> i </w:t>
      </w:r>
      <w:r w:rsidRPr="00A94B07">
        <w:rPr>
          <w:i/>
          <w:iCs/>
        </w:rPr>
        <w:t>b</w:t>
      </w:r>
      <w:r w:rsidRPr="00A94B07">
        <w:t xml:space="preserve"> de l’article 8 es preveu la participació de professorat universitari com a membres de l’Institut, després que el departament respectiu hi hagi donat la conformitat. Cal afegir-hi que, en el cas de personal docent de la Universitat de Barcelona, és necessària la conformitat prèvia del consell de divisió, segons el que preveu l’article 4 de la normativa aprovada per la Junta de Govern, que textualment diu:</w:t>
      </w:r>
    </w:p>
    <w:p w14:paraId="3C9E8294" w14:textId="77777777" w:rsidR="00A94B07" w:rsidRPr="00A94B07" w:rsidRDefault="00A94B07" w:rsidP="00A94B07"/>
    <w:p w14:paraId="280435FE" w14:textId="77777777" w:rsidR="00A94B07" w:rsidRPr="00A94B07" w:rsidRDefault="00A94B07" w:rsidP="00A94B07">
      <w:r w:rsidRPr="00A94B07">
        <w:t>«Per a l’adscripció de personal de la Universitat a un institut caldrà obtenir la conformitat prèvia dels respectius departaments i del consell de divisió per tal d’assegurar-ne les necessitats docents.»</w:t>
      </w:r>
    </w:p>
    <w:p w14:paraId="44981D07" w14:textId="77777777" w:rsidR="00A94B07" w:rsidRPr="00A94B07" w:rsidRDefault="00A94B07" w:rsidP="00A94B07"/>
    <w:p w14:paraId="1A9E6186" w14:textId="77777777" w:rsidR="00A94B07" w:rsidRPr="00A94B07" w:rsidRDefault="00A94B07" w:rsidP="00A94B07">
      <w:smartTag w:uri="urn:schemas-microsoft-com:office:smarttags" w:element="metricconverter">
        <w:smartTagPr>
          <w:attr w:name="ProductID" w:val="3. A"/>
        </w:smartTagPr>
        <w:r w:rsidRPr="00A94B07">
          <w:t>3. A</w:t>
        </w:r>
      </w:smartTag>
      <w:r w:rsidRPr="00A94B07">
        <w:t xml:space="preserve"> l’article 9 es preveu que l’adscripció del personal a l’Institut serà per temps limitat i renovable, sense cap altra concreció sobre terminis de renovació, per la qual cosa es pot inferir que possibilita l’adscripció per temps indefinit.</w:t>
      </w:r>
    </w:p>
    <w:p w14:paraId="49100C33" w14:textId="77777777" w:rsidR="00A94B07" w:rsidRPr="00A94B07" w:rsidRDefault="00A94B07" w:rsidP="00A94B07"/>
    <w:p w14:paraId="07B0D50D" w14:textId="77777777" w:rsidR="00A94B07" w:rsidRPr="00A94B07" w:rsidRDefault="00A94B07" w:rsidP="00A94B07">
      <w:r w:rsidRPr="00A94B07">
        <w:t>Aquest fet vulnera, pel que fa als ajudants, el que disposa l’article 34.3 de la Llei de reforma universitària, que diu:</w:t>
      </w:r>
    </w:p>
    <w:p w14:paraId="25EA0301" w14:textId="77777777" w:rsidR="00A94B07" w:rsidRPr="00A94B07" w:rsidRDefault="00A94B07" w:rsidP="00A94B07"/>
    <w:p w14:paraId="1D820872" w14:textId="77777777" w:rsidR="00A94B07" w:rsidRPr="00A94B07" w:rsidRDefault="00A94B07" w:rsidP="00A94B07">
      <w:r w:rsidRPr="00A94B07">
        <w:lastRenderedPageBreak/>
        <w:t>«Els ajudants de facultats [...] seran contractats per dedicació a temps complet per un termini màxim de dos anys [...] Aquests contractes seran renovables per un sol cop, per un termini màxim de tres anys.»</w:t>
      </w:r>
    </w:p>
    <w:p w14:paraId="208AB10B" w14:textId="77777777" w:rsidR="00A94B07" w:rsidRPr="00A94B07" w:rsidRDefault="00A94B07" w:rsidP="00A94B07"/>
    <w:p w14:paraId="03B6AC3F" w14:textId="77777777" w:rsidR="00A94B07" w:rsidRPr="00A94B07" w:rsidRDefault="00A94B07" w:rsidP="00A94B07">
      <w:r w:rsidRPr="00A94B07">
        <w:t>Tercer: Procediment de creació</w:t>
      </w:r>
    </w:p>
    <w:p w14:paraId="11FA97AD" w14:textId="77777777" w:rsidR="00A94B07" w:rsidRPr="00A94B07" w:rsidRDefault="00A94B07" w:rsidP="00A94B07"/>
    <w:p w14:paraId="55997075" w14:textId="77777777" w:rsidR="00A94B07" w:rsidRPr="00A94B07" w:rsidRDefault="00A94B07" w:rsidP="00A94B07">
      <w:r w:rsidRPr="00A94B07">
        <w:t>En cas que l’Institut estigui pendent de creació, s’ha de seguir el procediment establert als articles 10.2 de la Llei de reforma universitària, 50 i 52 dels Estatuts de la Universitat de Barcelona i la normativa aprovada per la Junta de Govern de la Universitat de Barcelona, en data 13 de març de 1989. Com a tràmit previ, entre d’altres, a la constitució, es requereix la signatura d’un preacord o conveni entre les universitats que hi participen (article 52 dels Estatuts de la Universitat de Barcelona), on s’han de concretar els termes de la participació en l’Institut de cada part. Aquesta fita és, potser, la més important per a la futura creació i posada en funcionament.</w:t>
      </w:r>
    </w:p>
    <w:p w14:paraId="7A7C2393" w14:textId="77777777" w:rsidR="00A94B07" w:rsidRPr="00A94B07" w:rsidRDefault="00A94B07" w:rsidP="00A94B07"/>
    <w:p w14:paraId="076DADE6" w14:textId="77777777" w:rsidR="00A94B07" w:rsidRPr="00A94B07" w:rsidRDefault="00C27233" w:rsidP="00A94B07">
      <w:r w:rsidRPr="002C0A5A">
        <w:t>Barcelona, 18 de maig de 1990</w:t>
      </w:r>
      <w:bookmarkStart w:id="0" w:name="_GoBack"/>
      <w:bookmarkEnd w:id="0"/>
    </w:p>
    <w:p w14:paraId="15B50ED3" w14:textId="77777777" w:rsidR="00A94B07" w:rsidRPr="00A94B07" w:rsidRDefault="00A94B07" w:rsidP="00A94B07"/>
    <w:p w14:paraId="5E0665F4" w14:textId="77777777" w:rsidR="00A94B07" w:rsidRPr="00A94B07" w:rsidRDefault="00A94B07" w:rsidP="00A94B07">
      <w:r w:rsidRPr="00A94B07">
        <w:t>El cap de l’Assessoria Jurídica</w:t>
      </w:r>
    </w:p>
    <w:p w14:paraId="36822F69" w14:textId="77777777" w:rsidR="00A94B07" w:rsidRPr="00A94B07" w:rsidRDefault="00A94B07" w:rsidP="00A94B07"/>
    <w:p w14:paraId="3B61ACF5" w14:textId="77777777" w:rsidR="00A94B07" w:rsidRPr="00A94B07" w:rsidRDefault="00A94B07" w:rsidP="00A94B07">
      <w:r w:rsidRPr="00A94B07">
        <w:t>[</w:t>
      </w:r>
      <w:r w:rsidRPr="00A94B07">
        <w:rPr>
          <w:i/>
          <w:iCs/>
        </w:rPr>
        <w:t>Espai per a la signatura</w:t>
      </w:r>
      <w:r w:rsidRPr="00A94B07">
        <w:t>]</w:t>
      </w:r>
    </w:p>
    <w:p w14:paraId="2D34F65E" w14:textId="77777777" w:rsidR="00A94B07" w:rsidRPr="00A94B07" w:rsidRDefault="00A94B07" w:rsidP="00A94B07"/>
    <w:p w14:paraId="63DC32F0" w14:textId="77777777" w:rsidR="003F04F9" w:rsidRPr="003F04F9" w:rsidRDefault="00A94B07" w:rsidP="001D7A1D">
      <w:r w:rsidRPr="00A94B07">
        <w:t>Jesús Martínez i Pou</w:t>
      </w:r>
    </w:p>
    <w:sectPr w:rsidR="003F04F9" w:rsidRPr="003F04F9" w:rsidSect="00864341">
      <w:headerReference w:type="default" r:id="rId7"/>
      <w:footerReference w:type="even" r:id="rId8"/>
      <w:headerReference w:type="first" r:id="rId9"/>
      <w:footerReference w:type="first" r:id="rId10"/>
      <w:pgSz w:w="11900" w:h="16840" w:code="9"/>
      <w:pgMar w:top="2835"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536A3" w14:textId="77777777" w:rsidR="009415C2" w:rsidRDefault="009415C2">
      <w:pPr>
        <w:spacing w:line="240" w:lineRule="auto"/>
      </w:pPr>
      <w:r>
        <w:separator/>
      </w:r>
    </w:p>
  </w:endnote>
  <w:endnote w:type="continuationSeparator" w:id="0">
    <w:p w14:paraId="0627E8D7" w14:textId="77777777" w:rsidR="009415C2" w:rsidRDefault="009415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F86BA" w14:textId="77777777" w:rsidR="00D72FE3" w:rsidRDefault="00D72FE3"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1006A8E" w14:textId="77777777" w:rsidR="00D72FE3" w:rsidRDefault="00D72FE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0B2D9" w14:textId="77777777" w:rsidR="00D72FE3" w:rsidRDefault="00D72FE3" w:rsidP="00864341">
    <w:pPr>
      <w:pStyle w:val="Peu"/>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F2B44" w14:textId="77777777" w:rsidR="009415C2" w:rsidRDefault="009415C2">
      <w:pPr>
        <w:spacing w:line="240" w:lineRule="auto"/>
      </w:pPr>
      <w:r>
        <w:separator/>
      </w:r>
    </w:p>
  </w:footnote>
  <w:footnote w:type="continuationSeparator" w:id="0">
    <w:p w14:paraId="568F507C" w14:textId="77777777" w:rsidR="009415C2" w:rsidRDefault="009415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4EC07" w14:textId="77777777" w:rsidR="00864341" w:rsidRPr="00864341" w:rsidRDefault="008843CE" w:rsidP="00864341">
    <w:pPr>
      <w:pStyle w:val="Capalera"/>
    </w:pPr>
    <w:r>
      <w:rPr>
        <w:noProof/>
        <w:lang w:eastAsia="ca-ES"/>
      </w:rPr>
      <w:drawing>
        <wp:anchor distT="0" distB="0" distL="114300" distR="114300" simplePos="0" relativeHeight="251658752" behindDoc="1" locked="1" layoutInCell="1" allowOverlap="1" wp14:anchorId="37A1C7B8" wp14:editId="5477BD3A">
          <wp:simplePos x="0" y="0"/>
          <wp:positionH relativeFrom="page">
            <wp:posOffset>539750</wp:posOffset>
          </wp:positionH>
          <wp:positionV relativeFrom="page">
            <wp:posOffset>417195</wp:posOffset>
          </wp:positionV>
          <wp:extent cx="1771015" cy="612775"/>
          <wp:effectExtent l="0" t="0" r="635" b="0"/>
          <wp:wrapNone/>
          <wp:docPr id="22" name="Imagen 22" descr="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015" cy="6127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4355" w:tblpY="794"/>
      <w:tblW w:w="0" w:type="auto"/>
      <w:tblCellMar>
        <w:left w:w="0" w:type="dxa"/>
        <w:right w:w="0" w:type="dxa"/>
      </w:tblCellMar>
      <w:tblLook w:val="00A0" w:firstRow="1" w:lastRow="0" w:firstColumn="1" w:lastColumn="0" w:noHBand="0" w:noVBand="0"/>
    </w:tblPr>
    <w:tblGrid>
      <w:gridCol w:w="1074"/>
      <w:gridCol w:w="1456"/>
      <w:gridCol w:w="1847"/>
    </w:tblGrid>
    <w:tr w:rsidR="00864341" w:rsidRPr="00864341" w14:paraId="0E09712C" w14:textId="77777777" w:rsidTr="00864341">
      <w:trPr>
        <w:cantSplit/>
        <w:trHeight w:hRule="exact" w:val="363"/>
      </w:trPr>
      <w:tc>
        <w:tcPr>
          <w:tcW w:w="0" w:type="auto"/>
          <w:gridSpan w:val="3"/>
          <w:noWrap/>
          <w:vAlign w:val="bottom"/>
        </w:tcPr>
        <w:p w14:paraId="2762A2BA" w14:textId="77777777" w:rsidR="00864341" w:rsidRPr="00864341" w:rsidRDefault="00864341" w:rsidP="00864341">
          <w:pPr>
            <w:keepNext/>
            <w:spacing w:line="180" w:lineRule="exact"/>
            <w:jc w:val="left"/>
            <w:rPr>
              <w:b/>
              <w:sz w:val="14"/>
            </w:rPr>
          </w:pPr>
        </w:p>
      </w:tc>
    </w:tr>
    <w:tr w:rsidR="00864341" w:rsidRPr="00864341" w14:paraId="7BBAFA29" w14:textId="77777777" w:rsidTr="00864341">
      <w:trPr>
        <w:cantSplit/>
      </w:trPr>
      <w:tc>
        <w:tcPr>
          <w:tcW w:w="0" w:type="auto"/>
        </w:tcPr>
        <w:p w14:paraId="1B474FEC" w14:textId="77777777" w:rsidR="00864341" w:rsidRPr="00864341" w:rsidRDefault="00864341" w:rsidP="00864341">
          <w:pPr>
            <w:spacing w:line="180" w:lineRule="exact"/>
            <w:jc w:val="left"/>
            <w:rPr>
              <w:b/>
              <w:sz w:val="14"/>
            </w:rPr>
          </w:pPr>
          <w:r>
            <w:rPr>
              <w:b/>
              <w:sz w:val="14"/>
            </w:rPr>
            <w:t>Serveis Jurídics</w:t>
          </w:r>
        </w:p>
      </w:tc>
      <w:tc>
        <w:tcPr>
          <w:tcW w:w="0" w:type="auto"/>
          <w:tcMar>
            <w:top w:w="170" w:type="dxa"/>
            <w:left w:w="397" w:type="dxa"/>
          </w:tcMar>
        </w:tcPr>
        <w:p w14:paraId="19D1C749" w14:textId="77777777" w:rsidR="00864341" w:rsidRDefault="00864341" w:rsidP="00864341">
          <w:pPr>
            <w:spacing w:line="180" w:lineRule="exact"/>
            <w:jc w:val="left"/>
            <w:rPr>
              <w:sz w:val="14"/>
            </w:rPr>
          </w:pPr>
          <w:r>
            <w:rPr>
              <w:sz w:val="14"/>
            </w:rPr>
            <w:t>Balmes, 21</w:t>
          </w:r>
        </w:p>
        <w:p w14:paraId="1FD6F7FD" w14:textId="77777777" w:rsidR="00864341" w:rsidRPr="00864341" w:rsidRDefault="00864341" w:rsidP="00864341">
          <w:pPr>
            <w:spacing w:line="180" w:lineRule="exact"/>
            <w:jc w:val="left"/>
            <w:rPr>
              <w:sz w:val="14"/>
            </w:rPr>
          </w:pPr>
          <w:r w:rsidRPr="00864341">
            <w:rPr>
              <w:sz w:val="14"/>
            </w:rPr>
            <w:t>08007 Barcelona</w:t>
          </w:r>
        </w:p>
      </w:tc>
      <w:tc>
        <w:tcPr>
          <w:tcW w:w="0" w:type="auto"/>
          <w:tcMar>
            <w:top w:w="170" w:type="dxa"/>
            <w:left w:w="397" w:type="dxa"/>
          </w:tcMar>
        </w:tcPr>
        <w:p w14:paraId="14F46ECB" w14:textId="77777777" w:rsidR="00864341" w:rsidRPr="00864341" w:rsidRDefault="00864341" w:rsidP="00CF17BA">
          <w:pPr>
            <w:spacing w:line="180" w:lineRule="exact"/>
            <w:jc w:val="left"/>
            <w:rPr>
              <w:sz w:val="14"/>
            </w:rPr>
          </w:pPr>
          <w:r w:rsidRPr="00864341">
            <w:rPr>
              <w:sz w:val="14"/>
            </w:rPr>
            <w:t xml:space="preserve">+34 934 </w:t>
          </w:r>
          <w:r>
            <w:rPr>
              <w:sz w:val="14"/>
            </w:rPr>
            <w:t>037</w:t>
          </w:r>
          <w:r w:rsidRPr="00864341">
            <w:rPr>
              <w:sz w:val="14"/>
            </w:rPr>
            <w:t xml:space="preserve"> </w:t>
          </w:r>
          <w:r>
            <w:rPr>
              <w:sz w:val="14"/>
            </w:rPr>
            <w:t>017</w:t>
          </w:r>
        </w:p>
        <w:p w14:paraId="004B18F9" w14:textId="77777777" w:rsidR="00864341" w:rsidRPr="00864341" w:rsidRDefault="00864341" w:rsidP="00864341">
          <w:pPr>
            <w:spacing w:line="180" w:lineRule="exact"/>
            <w:jc w:val="left"/>
            <w:rPr>
              <w:sz w:val="14"/>
            </w:rPr>
          </w:pPr>
          <w:r>
            <w:rPr>
              <w:sz w:val="14"/>
            </w:rPr>
            <w:t>serveisjuridics</w:t>
          </w:r>
          <w:r w:rsidRPr="00864341">
            <w:rPr>
              <w:sz w:val="14"/>
            </w:rPr>
            <w:t>@ub.edu</w:t>
          </w:r>
        </w:p>
        <w:p w14:paraId="5C09B6E9" w14:textId="77777777" w:rsidR="00864341" w:rsidRPr="00864341" w:rsidRDefault="00864341" w:rsidP="00864341">
          <w:pPr>
            <w:spacing w:line="180" w:lineRule="exact"/>
            <w:jc w:val="left"/>
            <w:rPr>
              <w:sz w:val="14"/>
            </w:rPr>
          </w:pPr>
          <w:r w:rsidRPr="009846B1">
            <w:rPr>
              <w:sz w:val="14"/>
            </w:rPr>
            <w:t>www.ub.edu</w:t>
          </w:r>
        </w:p>
      </w:tc>
    </w:tr>
  </w:tbl>
  <w:p w14:paraId="4F1BE63D" w14:textId="77777777" w:rsidR="00864341" w:rsidRPr="00864341" w:rsidRDefault="008843CE" w:rsidP="00864341">
    <w:pPr>
      <w:pStyle w:val="Capalera"/>
    </w:pPr>
    <w:r>
      <w:rPr>
        <w:noProof/>
        <w:lang w:eastAsia="ca-ES"/>
      </w:rPr>
      <w:drawing>
        <wp:anchor distT="0" distB="0" distL="114300" distR="114300" simplePos="0" relativeHeight="251656704" behindDoc="1" locked="1" layoutInCell="1" allowOverlap="1" wp14:anchorId="10A33CAE" wp14:editId="615B942F">
          <wp:simplePos x="0" y="0"/>
          <wp:positionH relativeFrom="page">
            <wp:posOffset>539750</wp:posOffset>
          </wp:positionH>
          <wp:positionV relativeFrom="page">
            <wp:posOffset>417195</wp:posOffset>
          </wp:positionV>
          <wp:extent cx="6334125" cy="609600"/>
          <wp:effectExtent l="0" t="0" r="9525" b="0"/>
          <wp:wrapNone/>
          <wp:docPr id="18" name="Imagen 18" descr="logo-color-li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color-li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D3026"/>
    <w:multiLevelType w:val="hybridMultilevel"/>
    <w:tmpl w:val="10C25DF4"/>
    <w:lvl w:ilvl="0" w:tplc="0E8A332C">
      <w:start w:val="1"/>
      <w:numFmt w:val="bullet"/>
      <w:lvlText w:val=""/>
      <w:lvlJc w:val="left"/>
      <w:pPr>
        <w:ind w:left="720" w:hanging="360"/>
      </w:pPr>
      <w:rPr>
        <w:rFonts w:ascii="Wingdings" w:hAnsi="Wingdings" w:hint="default"/>
        <w:color w:val="0072C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07"/>
    <w:rsid w:val="0000058B"/>
    <w:rsid w:val="00074F8D"/>
    <w:rsid w:val="000914BC"/>
    <w:rsid w:val="000A255D"/>
    <w:rsid w:val="001845CF"/>
    <w:rsid w:val="00186DC8"/>
    <w:rsid w:val="001D7A1D"/>
    <w:rsid w:val="00207299"/>
    <w:rsid w:val="00230CBD"/>
    <w:rsid w:val="002611D3"/>
    <w:rsid w:val="002917CD"/>
    <w:rsid w:val="002B73E6"/>
    <w:rsid w:val="002C0A5A"/>
    <w:rsid w:val="002D70B2"/>
    <w:rsid w:val="00345E39"/>
    <w:rsid w:val="003D553B"/>
    <w:rsid w:val="003F04F9"/>
    <w:rsid w:val="004601EF"/>
    <w:rsid w:val="00491C81"/>
    <w:rsid w:val="004D0592"/>
    <w:rsid w:val="004E6637"/>
    <w:rsid w:val="00520756"/>
    <w:rsid w:val="00555678"/>
    <w:rsid w:val="005A6F3D"/>
    <w:rsid w:val="005B7665"/>
    <w:rsid w:val="00603B02"/>
    <w:rsid w:val="00622469"/>
    <w:rsid w:val="00622913"/>
    <w:rsid w:val="00645242"/>
    <w:rsid w:val="00690E1A"/>
    <w:rsid w:val="006B15A7"/>
    <w:rsid w:val="007715F0"/>
    <w:rsid w:val="007D2567"/>
    <w:rsid w:val="008128F8"/>
    <w:rsid w:val="008146D7"/>
    <w:rsid w:val="00814AB0"/>
    <w:rsid w:val="008238D3"/>
    <w:rsid w:val="00840252"/>
    <w:rsid w:val="00855DC7"/>
    <w:rsid w:val="00864341"/>
    <w:rsid w:val="00883275"/>
    <w:rsid w:val="008843CE"/>
    <w:rsid w:val="008D32E2"/>
    <w:rsid w:val="009148F6"/>
    <w:rsid w:val="009415C2"/>
    <w:rsid w:val="00967D43"/>
    <w:rsid w:val="009723B2"/>
    <w:rsid w:val="009846B1"/>
    <w:rsid w:val="009A1C9C"/>
    <w:rsid w:val="009C3845"/>
    <w:rsid w:val="009D7F9B"/>
    <w:rsid w:val="00A573FC"/>
    <w:rsid w:val="00A83A28"/>
    <w:rsid w:val="00A94B07"/>
    <w:rsid w:val="00AA592C"/>
    <w:rsid w:val="00B03743"/>
    <w:rsid w:val="00B20AC5"/>
    <w:rsid w:val="00B23316"/>
    <w:rsid w:val="00B52A27"/>
    <w:rsid w:val="00B643D4"/>
    <w:rsid w:val="00BD16A2"/>
    <w:rsid w:val="00C27233"/>
    <w:rsid w:val="00C43E4D"/>
    <w:rsid w:val="00C71A67"/>
    <w:rsid w:val="00CB3600"/>
    <w:rsid w:val="00CB4B7B"/>
    <w:rsid w:val="00CB61C9"/>
    <w:rsid w:val="00CB7925"/>
    <w:rsid w:val="00CC5EDB"/>
    <w:rsid w:val="00CF17BA"/>
    <w:rsid w:val="00D72FE3"/>
    <w:rsid w:val="00E26298"/>
    <w:rsid w:val="00EB55FE"/>
    <w:rsid w:val="00FC4F33"/>
    <w:rsid w:val="00FD528E"/>
    <w:rsid w:val="00FD7CDB"/>
    <w:rsid w:val="00FF1719"/>
    <w:rsid w:val="00FF1BD0"/>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7"/>
    <o:shapelayout v:ext="edit">
      <o:idmap v:ext="edit" data="1"/>
    </o:shapelayout>
  </w:shapeDefaults>
  <w:decimalSymbol w:val=","/>
  <w:listSeparator w:val=";"/>
  <w14:docId w14:val="60D6EEDF"/>
  <w15:chartTrackingRefBased/>
  <w15:docId w15:val="{054FBCCA-1548-4103-8394-0E742CD3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341"/>
    <w:pPr>
      <w:spacing w:line="240" w:lineRule="exact"/>
      <w:jc w:val="both"/>
    </w:pPr>
    <w:rPr>
      <w:rFonts w:ascii="Arial" w:hAnsi="Arial"/>
      <w:szCs w:val="24"/>
      <w:lang w:val="ca-ES" w:eastAsia="en-U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rsid w:val="00864341"/>
    <w:pPr>
      <w:tabs>
        <w:tab w:val="center" w:pos="4564"/>
        <w:tab w:val="right" w:pos="9129"/>
      </w:tabs>
      <w:spacing w:line="200" w:lineRule="exact"/>
      <w:jc w:val="left"/>
    </w:pPr>
    <w:rPr>
      <w:sz w:val="16"/>
    </w:rPr>
  </w:style>
  <w:style w:type="character" w:styleId="Nmerodepgina">
    <w:name w:val="page number"/>
    <w:rsid w:val="00864341"/>
    <w:rPr>
      <w:rFonts w:ascii="Arial" w:hAnsi="Arial"/>
      <w:sz w:val="16"/>
      <w:lang w:val="ca-ES"/>
    </w:rPr>
  </w:style>
  <w:style w:type="paragraph" w:customStyle="1" w:styleId="Capalera1">
    <w:name w:val="Capçalera1"/>
    <w:basedOn w:val="Normal"/>
    <w:qFormat/>
    <w:rsid w:val="00864341"/>
    <w:pPr>
      <w:spacing w:line="180" w:lineRule="exact"/>
      <w:jc w:val="left"/>
    </w:pPr>
    <w:rPr>
      <w:sz w:val="14"/>
    </w:rPr>
  </w:style>
  <w:style w:type="paragraph" w:customStyle="1" w:styleId="Capaleranegreta">
    <w:name w:val="Capçalera negreta"/>
    <w:basedOn w:val="Capalera1"/>
    <w:qFormat/>
    <w:rsid w:val="00864341"/>
    <w:rPr>
      <w:b/>
    </w:rPr>
  </w:style>
  <w:style w:type="paragraph" w:styleId="Capalera">
    <w:name w:val="header"/>
    <w:basedOn w:val="Normal"/>
    <w:rsid w:val="00864341"/>
    <w:pPr>
      <w:tabs>
        <w:tab w:val="center" w:pos="4564"/>
        <w:tab w:val="right" w:pos="9129"/>
      </w:tabs>
      <w:spacing w:line="200" w:lineRule="exact"/>
    </w:pPr>
    <w:rPr>
      <w:sz w:val="16"/>
    </w:rPr>
  </w:style>
  <w:style w:type="character" w:styleId="Refernciadenotaalfinal">
    <w:name w:val="endnote reference"/>
    <w:rsid w:val="00864341"/>
    <w:rPr>
      <w:rFonts w:ascii="Arial" w:hAnsi="Arial"/>
      <w:sz w:val="20"/>
      <w:vertAlign w:val="superscript"/>
    </w:rPr>
  </w:style>
  <w:style w:type="character" w:styleId="Refernciadenotaapeudepgina">
    <w:name w:val="footnote reference"/>
    <w:rsid w:val="00864341"/>
    <w:rPr>
      <w:rFonts w:ascii="Arial" w:hAnsi="Arial"/>
      <w:sz w:val="20"/>
      <w:vertAlign w:val="superscript"/>
    </w:rPr>
  </w:style>
  <w:style w:type="paragraph" w:styleId="Textdenotaalfinal">
    <w:name w:val="endnote text"/>
    <w:basedOn w:val="Normal"/>
    <w:rsid w:val="00864341"/>
    <w:pPr>
      <w:spacing w:after="60" w:line="200" w:lineRule="exact"/>
    </w:pPr>
    <w:rPr>
      <w:sz w:val="16"/>
      <w:szCs w:val="20"/>
    </w:rPr>
  </w:style>
  <w:style w:type="paragraph" w:styleId="Textdenotaapeudepgina">
    <w:name w:val="footnote text"/>
    <w:basedOn w:val="Normal"/>
    <w:rsid w:val="00864341"/>
    <w:pPr>
      <w:spacing w:after="60" w:line="200" w:lineRule="exact"/>
    </w:pPr>
    <w:rPr>
      <w:sz w:val="16"/>
      <w:szCs w:val="20"/>
    </w:rPr>
  </w:style>
  <w:style w:type="character" w:styleId="Enlla">
    <w:name w:val="Hyperlink"/>
    <w:rsid w:val="00864341"/>
    <w:rPr>
      <w:color w:val="0563C1"/>
      <w:u w:val="single"/>
    </w:rPr>
  </w:style>
  <w:style w:type="character" w:styleId="Refernciadecomentari">
    <w:name w:val="annotation reference"/>
    <w:basedOn w:val="Tipusdelletraperdefectedelpargraf"/>
    <w:rsid w:val="000A255D"/>
    <w:rPr>
      <w:sz w:val="16"/>
      <w:szCs w:val="16"/>
    </w:rPr>
  </w:style>
  <w:style w:type="paragraph" w:styleId="Textdecomentari">
    <w:name w:val="annotation text"/>
    <w:basedOn w:val="Normal"/>
    <w:link w:val="TextdecomentariCar"/>
    <w:rsid w:val="000A255D"/>
    <w:pPr>
      <w:spacing w:line="240" w:lineRule="auto"/>
    </w:pPr>
    <w:rPr>
      <w:szCs w:val="20"/>
    </w:rPr>
  </w:style>
  <w:style w:type="character" w:customStyle="1" w:styleId="TextdecomentariCar">
    <w:name w:val="Text de comentari Car"/>
    <w:basedOn w:val="Tipusdelletraperdefectedelpargraf"/>
    <w:link w:val="Textdecomentari"/>
    <w:rsid w:val="000A255D"/>
    <w:rPr>
      <w:rFonts w:ascii="Arial" w:hAnsi="Arial"/>
      <w:lang w:val="ca-ES" w:eastAsia="en-US"/>
    </w:rPr>
  </w:style>
  <w:style w:type="paragraph" w:styleId="Temadelcomentari">
    <w:name w:val="annotation subject"/>
    <w:basedOn w:val="Textdecomentari"/>
    <w:next w:val="Textdecomentari"/>
    <w:link w:val="TemadelcomentariCar"/>
    <w:rsid w:val="000A255D"/>
    <w:rPr>
      <w:b/>
      <w:bCs/>
    </w:rPr>
  </w:style>
  <w:style w:type="character" w:customStyle="1" w:styleId="TemadelcomentariCar">
    <w:name w:val="Tema del comentari Car"/>
    <w:basedOn w:val="TextdecomentariCar"/>
    <w:link w:val="Temadelcomentari"/>
    <w:rsid w:val="000A255D"/>
    <w:rPr>
      <w:rFonts w:ascii="Arial" w:hAnsi="Arial"/>
      <w:b/>
      <w:bCs/>
      <w:lang w:val="ca-ES" w:eastAsia="en-US"/>
    </w:rPr>
  </w:style>
  <w:style w:type="paragraph" w:styleId="Textdeglobus">
    <w:name w:val="Balloon Text"/>
    <w:basedOn w:val="Normal"/>
    <w:link w:val="TextdeglobusCar"/>
    <w:rsid w:val="000A255D"/>
    <w:pPr>
      <w:spacing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rsid w:val="000A255D"/>
    <w:rPr>
      <w:rFonts w:ascii="Segoe UI" w:hAnsi="Segoe UI" w:cs="Segoe UI"/>
      <w:sz w:val="18"/>
      <w:szCs w:val="18"/>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566</Words>
  <Characters>2988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lpstr>
    </vt:vector>
  </TitlesOfParts>
  <Company>Universitat de Barcelona</Company>
  <LinksUpToDate>false</LinksUpToDate>
  <CharactersWithSpaces>3547</CharactersWithSpaces>
  <SharedDoc>false</SharedDoc>
  <HLinks>
    <vt:vector size="6" baseType="variant">
      <vt:variant>
        <vt:i4>3866658</vt:i4>
      </vt:variant>
      <vt:variant>
        <vt:i4>2</vt:i4>
      </vt:variant>
      <vt:variant>
        <vt:i4>0</vt:i4>
      </vt:variant>
      <vt:variant>
        <vt:i4>5</vt:i4>
      </vt:variant>
      <vt:variant>
        <vt:lpwstr>http://www.ub.edu/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marina.diaz</dc:creator>
  <cp:keywords/>
  <cp:lastModifiedBy>Anna Grau</cp:lastModifiedBy>
  <cp:revision>7</cp:revision>
  <cp:lastPrinted>2012-05-23T14:11:00Z</cp:lastPrinted>
  <dcterms:created xsi:type="dcterms:W3CDTF">2016-05-27T11:08:00Z</dcterms:created>
  <dcterms:modified xsi:type="dcterms:W3CDTF">2018-10-09T09:42:00Z</dcterms:modified>
</cp:coreProperties>
</file>