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59C8" w14:textId="77777777" w:rsidR="00861457" w:rsidRDefault="00861457" w:rsidP="00861457">
      <w:pPr>
        <w:pStyle w:val="Ttol3"/>
        <w:tabs>
          <w:tab w:val="left" w:pos="9498"/>
        </w:tabs>
        <w:ind w:left="993"/>
        <w:rPr>
          <w:u w:val="none"/>
        </w:rPr>
      </w:pPr>
      <w:r>
        <w:t>MODALITAT ECE (Estada de científics estrangers)</w:t>
      </w:r>
    </w:p>
    <w:p w14:paraId="34922CF7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6D3DB5E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Objectius.</w:t>
      </w:r>
    </w:p>
    <w:p w14:paraId="6893849B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7E5317E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L’objecte és aprofitar el fet que científics estrangers de prestigi que estiguin a prop de Barcelona, facin una estada a la nostra Universitat.</w:t>
      </w:r>
    </w:p>
    <w:p w14:paraId="54C8105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1A26DDC0" w14:textId="594C57AD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Aquesta modalitat inclou la possibilitat de realitzar cursos en què hi participin professors estrangers. L’objectiu d’aquests cursos ha de ser la millora del nivell de recerca al sí dels departaments i grups de recerca acreditats. En aquest cas la sol·licitud ha d’incorporar la corresponent organització docent.  </w:t>
      </w:r>
    </w:p>
    <w:p w14:paraId="6015DEEC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4215EB36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Sol·licitants.</w:t>
      </w:r>
    </w:p>
    <w:p w14:paraId="5DED4A89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73515464" w14:textId="77777777" w:rsidR="00861457" w:rsidRDefault="00861457" w:rsidP="00861457">
      <w:pPr>
        <w:pStyle w:val="Textdebloc"/>
        <w:ind w:left="993"/>
      </w:pPr>
      <w: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Belles Arts.</w:t>
      </w:r>
    </w:p>
    <w:p w14:paraId="121F6C61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5A8D7604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Condicions de la modalitat ECE</w:t>
      </w:r>
    </w:p>
    <w:p w14:paraId="7FF55ACE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02A98B7F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financen principalment estades, que hauran de ser d’entre un i sis dies com a màxim. </w:t>
      </w:r>
    </w:p>
    <w:p w14:paraId="3D5947F3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d’acord amb les disponibilitats econòmiques finançarà les despeses produïdes pel viatge (sempre dins d’Espanya), dietes, allotjament i la conferència, i mai en quantitats superiors a:</w:t>
      </w:r>
    </w:p>
    <w:p w14:paraId="252A13B1" w14:textId="77777777" w:rsidR="00861457" w:rsidRDefault="00861457" w:rsidP="00861457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900,00 € màxim per ajut i any.</w:t>
      </w:r>
    </w:p>
    <w:p w14:paraId="5A4232AF" w14:textId="77777777" w:rsidR="00861457" w:rsidRDefault="00861457" w:rsidP="00861457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1.500,00 € màxim per departament i any, excepte en circumstàncies excepcionals degudament justificades i en funció del nombre de professors del departament.</w:t>
      </w:r>
    </w:p>
    <w:p w14:paraId="389F450F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 professorat interessat ha de fer la sol·licitud almenys amb quinze dies d’antelació respecte de la data prevista per a l’estada del professor estranger.</w:t>
      </w:r>
    </w:p>
    <w:p w14:paraId="51290FFD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prioritzarà la utilització dels col·legis Majors Sant Raimon de </w:t>
      </w:r>
      <w:proofErr w:type="spellStart"/>
      <w:r>
        <w:rPr>
          <w:snapToGrid w:val="0"/>
          <w:sz w:val="22"/>
        </w:rPr>
        <w:t>Penyafort</w:t>
      </w:r>
      <w:proofErr w:type="spellEnd"/>
      <w:r>
        <w:rPr>
          <w:snapToGrid w:val="0"/>
          <w:sz w:val="22"/>
        </w:rPr>
        <w:t xml:space="preserve"> i grup RESA per a les despeses d’allotjament i així s’haurà de fer constar a la sol·licitud.</w:t>
      </w:r>
    </w:p>
    <w:p w14:paraId="2F5737F3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Quan la sol·licitud no coincideixi amb el calendari de reunions de la comissió, el seu president emetrà la resolució que comunicarà a la comissió per a la seva ratificació.</w:t>
      </w:r>
    </w:p>
    <w:p w14:paraId="400A335A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6260E7DF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AAC5098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Documentació.</w:t>
      </w:r>
    </w:p>
    <w:p w14:paraId="7F9CB759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A32D342" w14:textId="77777777" w:rsidR="00861457" w:rsidRDefault="00861457" w:rsidP="0086145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(1) amb el vist i plau del director de departament en el que es farà constar el cofinançament del Departament  i/o (2) amb el vist i plau del IP del Grup de Recerca Consolidat o Projecte de Recerca Competitiu en el que es farà constar el cofinançament del grup o projecte.</w:t>
      </w:r>
    </w:p>
    <w:p w14:paraId="4ADF639E" w14:textId="77777777" w:rsidR="00861457" w:rsidRDefault="00861457" w:rsidP="0086145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CV del professor a invitar</w:t>
      </w:r>
    </w:p>
    <w:p w14:paraId="76FD79A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36A6A8C5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32A54C22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0A668188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1983F555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66776D2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A465849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53163B8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lastRenderedPageBreak/>
        <w:t>Tramitació i presentació de les sol·licituds.</w:t>
      </w:r>
    </w:p>
    <w:p w14:paraId="02CB7884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52DB1E5E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impresos per sol·licitat aquest ajut es poden  recollir o demanar a:</w:t>
      </w:r>
    </w:p>
    <w:p w14:paraId="3B28E1C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Oficina de Recerca de Belles Arts</w:t>
      </w:r>
    </w:p>
    <w:p w14:paraId="2A697F48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Tel. 93 403 40 49</w:t>
      </w:r>
    </w:p>
    <w:p w14:paraId="2C44C2A7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64EC3DCF" w14:textId="77777777" w:rsidR="00861457" w:rsidRDefault="00861457" w:rsidP="00861457">
      <w:pPr>
        <w:ind w:left="993" w:right="396" w:firstLine="708"/>
        <w:jc w:val="center"/>
        <w:rPr>
          <w:snapToGrid w:val="0"/>
          <w:sz w:val="22"/>
        </w:rPr>
      </w:pPr>
    </w:p>
    <w:p w14:paraId="560C106E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27DF2AD2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377A927B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74524A8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14011E3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09F003DD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57D0E264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0389FD82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5FCF1C45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277C7E2D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E014888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</w:t>
      </w:r>
      <w:r w:rsidRPr="00861457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42486E7C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FC3663B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3635E7CF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4D0ACC23" w14:textId="77777777" w:rsidR="00861457" w:rsidRDefault="00861457" w:rsidP="0086145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32462FAF" w14:textId="77777777" w:rsidR="00861457" w:rsidRDefault="00861457" w:rsidP="0086145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49A025A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1FD1C37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4D44D531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64B3A9A4" w14:textId="77777777" w:rsidR="00861457" w:rsidRDefault="00861457" w:rsidP="008614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>, llevat de causes justificades que hauran d’exposar-se per escrit abans de la finalització d’aquest termini. Aquest termini es comptarà a partir de la data prevista de l’estada.</w:t>
      </w:r>
    </w:p>
    <w:p w14:paraId="5B7FE78C" w14:textId="77777777" w:rsidR="00861457" w:rsidRDefault="00861457" w:rsidP="008614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54E2C012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19EF670E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105148E0" w14:textId="77777777" w:rsidR="00861457" w:rsidRDefault="00861457" w:rsidP="0086145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1965631D" w14:textId="77777777" w:rsidR="00861457" w:rsidRDefault="00861457" w:rsidP="00861457">
      <w:pPr>
        <w:autoSpaceDE w:val="0"/>
        <w:autoSpaceDN w:val="0"/>
        <w:adjustRightInd w:val="0"/>
        <w:ind w:right="396" w:firstLine="709"/>
        <w:jc w:val="both"/>
        <w:rPr>
          <w:sz w:val="22"/>
        </w:rPr>
      </w:pPr>
      <w:r>
        <w:rPr>
          <w:sz w:val="22"/>
        </w:rPr>
        <w:t xml:space="preserve">El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de Recerca</w:t>
      </w:r>
    </w:p>
    <w:p w14:paraId="619809AE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20B83041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51FF17F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458084B4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6E6FD8FC" w14:textId="77777777" w:rsidR="00861457" w:rsidRDefault="00861457" w:rsidP="00861457">
      <w:pPr>
        <w:autoSpaceDE w:val="0"/>
        <w:autoSpaceDN w:val="0"/>
        <w:adjustRightInd w:val="0"/>
        <w:ind w:left="709" w:right="396"/>
        <w:jc w:val="both"/>
        <w:rPr>
          <w:b/>
          <w:snapToGrid w:val="0"/>
          <w:sz w:val="22"/>
          <w:u w:val="single"/>
        </w:rPr>
      </w:pPr>
      <w:r>
        <w:rPr>
          <w:sz w:val="22"/>
        </w:rPr>
        <w:t>Barcelona,  30 de gener de 2015</w:t>
      </w:r>
    </w:p>
    <w:p w14:paraId="7962BC75" w14:textId="77777777" w:rsidR="004449F3" w:rsidRDefault="004449F3" w:rsidP="004449F3">
      <w:pPr>
        <w:rPr>
          <w:b/>
          <w:sz w:val="24"/>
        </w:rPr>
      </w:pPr>
      <w:bookmarkStart w:id="0" w:name="_GoBack"/>
      <w:bookmarkEnd w:id="0"/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9C5528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9C5528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9C5528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821EB5"/>
    <w:rsid w:val="00861457"/>
    <w:rsid w:val="008C48E4"/>
    <w:rsid w:val="00921E53"/>
    <w:rsid w:val="009C5528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861457"/>
    <w:pPr>
      <w:keepNext/>
      <w:widowControl w:val="0"/>
      <w:snapToGrid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semiHidden/>
    <w:rsid w:val="00861457"/>
    <w:rPr>
      <w:rFonts w:ascii="Times New Roman" w:eastAsia="Times New Roman" w:hAnsi="Times New Roman" w:cs="Times New Roman"/>
      <w:b/>
      <w:iCs/>
      <w:sz w:val="22"/>
      <w:szCs w:val="22"/>
      <w:u w:val="single"/>
    </w:rPr>
  </w:style>
  <w:style w:type="paragraph" w:styleId="Textdebloc">
    <w:name w:val="Block Text"/>
    <w:basedOn w:val="Normal"/>
    <w:semiHidden/>
    <w:unhideWhenUsed/>
    <w:rsid w:val="00861457"/>
    <w:pPr>
      <w:widowControl w:val="0"/>
      <w:snapToGrid w:val="0"/>
      <w:spacing w:line="240" w:lineRule="auto"/>
      <w:ind w:left="567" w:right="396"/>
      <w:jc w:val="both"/>
    </w:pPr>
    <w:rPr>
      <w:rFonts w:ascii="Times New Roman" w:eastAsia="Times New Roman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BEFF8-52B0-42FA-A202-099583F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3</cp:revision>
  <cp:lastPrinted>2016-06-27T08:18:00Z</cp:lastPrinted>
  <dcterms:created xsi:type="dcterms:W3CDTF">2017-05-04T09:42:00Z</dcterms:created>
  <dcterms:modified xsi:type="dcterms:W3CDTF">2017-05-04T09:46:00Z</dcterms:modified>
</cp:coreProperties>
</file>