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C05CF" w14:textId="77777777" w:rsidR="00C13927" w:rsidRDefault="00C13927"/>
    <w:p w14:paraId="5A77A89E" w14:textId="77777777" w:rsidR="00C13927" w:rsidRDefault="00C13927"/>
    <w:p w14:paraId="3B8CAE1C" w14:textId="77777777" w:rsidR="00EA74F3" w:rsidRDefault="00EA74F3" w:rsidP="00EA74F3">
      <w:pPr>
        <w:jc w:val="center"/>
        <w:rPr>
          <w:rFonts w:ascii="Century Gothic" w:hAnsi="Century Gothic"/>
          <w:b/>
          <w:iCs/>
          <w:color w:val="AA3035"/>
          <w:sz w:val="32"/>
          <w:szCs w:val="32"/>
          <w:lang w:val="es-ES_tradnl"/>
        </w:rPr>
      </w:pPr>
    </w:p>
    <w:p w14:paraId="1F00338D" w14:textId="77777777" w:rsidR="005E2702" w:rsidRPr="00E632F7" w:rsidRDefault="005E2702" w:rsidP="005E2702">
      <w:pPr>
        <w:jc w:val="center"/>
        <w:rPr>
          <w:rFonts w:ascii="Century Gothic" w:hAnsi="Century Gothic"/>
          <w:b/>
          <w:iCs/>
          <w:color w:val="595959" w:themeColor="text1" w:themeTint="A6"/>
          <w:sz w:val="28"/>
          <w:szCs w:val="28"/>
          <w:lang w:val="es-ES_tradnl"/>
        </w:rPr>
      </w:pPr>
      <w:r w:rsidRPr="00E632F7">
        <w:rPr>
          <w:rFonts w:ascii="Century Gothic" w:hAnsi="Century Gothic"/>
          <w:b/>
          <w:iCs/>
          <w:color w:val="595959" w:themeColor="text1" w:themeTint="A6"/>
          <w:sz w:val="28"/>
          <w:szCs w:val="28"/>
          <w:lang w:val="es-ES_tradnl"/>
        </w:rPr>
        <w:t>Sesión de formación investigadora</w:t>
      </w:r>
      <w:r w:rsidR="00E632F7">
        <w:rPr>
          <w:rFonts w:ascii="Century Gothic" w:hAnsi="Century Gothic"/>
          <w:b/>
          <w:iCs/>
          <w:color w:val="595959" w:themeColor="text1" w:themeTint="A6"/>
          <w:sz w:val="28"/>
          <w:szCs w:val="28"/>
          <w:lang w:val="es-ES_tradnl"/>
        </w:rPr>
        <w:t xml:space="preserve"> ARSLUDI</w:t>
      </w:r>
    </w:p>
    <w:p w14:paraId="65C677B8" w14:textId="77777777" w:rsidR="00E632F7" w:rsidRDefault="00E632F7" w:rsidP="005E2702">
      <w:pPr>
        <w:jc w:val="center"/>
        <w:rPr>
          <w:rFonts w:ascii="Century Gothic" w:hAnsi="Century Gothic"/>
          <w:bCs/>
          <w:iCs/>
          <w:color w:val="000000" w:themeColor="text1"/>
          <w:lang w:val="es-ES_tradnl"/>
        </w:rPr>
      </w:pPr>
    </w:p>
    <w:p w14:paraId="09EBC356" w14:textId="77777777" w:rsidR="005E2702" w:rsidRPr="00CC3370" w:rsidRDefault="005E2702" w:rsidP="005E2702">
      <w:pPr>
        <w:jc w:val="center"/>
        <w:rPr>
          <w:rFonts w:ascii="Century Gothic" w:hAnsi="Century Gothic"/>
          <w:b/>
          <w:iCs/>
          <w:color w:val="000000" w:themeColor="text1"/>
          <w:lang w:val="es-ES_tradnl"/>
        </w:rPr>
      </w:pPr>
      <w:r w:rsidRPr="00CC3370">
        <w:rPr>
          <w:rFonts w:ascii="Century Gothic" w:hAnsi="Century Gothic"/>
          <w:b/>
          <w:iCs/>
          <w:color w:val="000000" w:themeColor="text1"/>
          <w:lang w:val="es-ES_tradnl"/>
        </w:rPr>
        <w:t xml:space="preserve">a cargo del Dr. Miguel Ángel Quintana Paz </w:t>
      </w:r>
    </w:p>
    <w:p w14:paraId="34B16687" w14:textId="77777777" w:rsidR="00976CDB" w:rsidRPr="00CC3370" w:rsidRDefault="00976CDB">
      <w:pPr>
        <w:rPr>
          <w:rFonts w:ascii="Arial Nova" w:hAnsi="Arial Nova"/>
          <w:b/>
        </w:rPr>
      </w:pPr>
    </w:p>
    <w:p w14:paraId="14B709EF" w14:textId="77777777" w:rsidR="005E2702" w:rsidRPr="00E632F7" w:rsidRDefault="005E2702" w:rsidP="005E2702">
      <w:pPr>
        <w:jc w:val="center"/>
        <w:rPr>
          <w:rFonts w:ascii="Century Gothic" w:hAnsi="Century Gothic"/>
          <w:color w:val="AA3035"/>
          <w:sz w:val="28"/>
          <w:szCs w:val="28"/>
        </w:rPr>
      </w:pPr>
      <w:r w:rsidRPr="00E632F7">
        <w:rPr>
          <w:rFonts w:ascii="Century Gothic" w:hAnsi="Century Gothic"/>
          <w:color w:val="AA3035"/>
          <w:sz w:val="28"/>
          <w:szCs w:val="28"/>
        </w:rPr>
        <w:t>Juego, máscara y ontología: Vattimo frente a Nietzsche,</w:t>
      </w:r>
    </w:p>
    <w:p w14:paraId="4D04D4D7" w14:textId="77777777" w:rsidR="005E2702" w:rsidRDefault="005E2702" w:rsidP="005E2702">
      <w:pPr>
        <w:jc w:val="center"/>
        <w:rPr>
          <w:rFonts w:ascii="Century Gothic" w:hAnsi="Century Gothic"/>
          <w:color w:val="AA3035"/>
          <w:sz w:val="28"/>
          <w:szCs w:val="28"/>
        </w:rPr>
      </w:pPr>
      <w:r w:rsidRPr="00E632F7">
        <w:rPr>
          <w:rFonts w:ascii="Century Gothic" w:hAnsi="Century Gothic"/>
          <w:color w:val="AA3035"/>
          <w:sz w:val="28"/>
          <w:szCs w:val="28"/>
        </w:rPr>
        <w:t xml:space="preserve">Nietzsche frente a Vattimo. </w:t>
      </w:r>
    </w:p>
    <w:p w14:paraId="4D660CBA" w14:textId="77777777" w:rsidR="00E632F7" w:rsidRPr="00E632F7" w:rsidRDefault="00E632F7" w:rsidP="005E2702">
      <w:pPr>
        <w:jc w:val="center"/>
        <w:rPr>
          <w:rFonts w:ascii="Century Gothic" w:hAnsi="Century Gothic"/>
          <w:color w:val="AA3035"/>
          <w:sz w:val="28"/>
          <w:szCs w:val="28"/>
        </w:rPr>
      </w:pPr>
    </w:p>
    <w:p w14:paraId="5F03267E" w14:textId="77777777" w:rsidR="00E632F7" w:rsidRPr="00E632F7" w:rsidRDefault="005E2702" w:rsidP="00E632F7">
      <w:pPr>
        <w:jc w:val="center"/>
        <w:rPr>
          <w:rFonts w:ascii="Century Gothic" w:hAnsi="Century Gothic"/>
          <w:i/>
          <w:iCs/>
          <w:color w:val="AA3035"/>
        </w:rPr>
      </w:pPr>
      <w:r w:rsidRPr="00E632F7">
        <w:rPr>
          <w:rFonts w:ascii="Century Gothic" w:hAnsi="Century Gothic"/>
          <w:i/>
          <w:iCs/>
          <w:color w:val="AA3035"/>
        </w:rPr>
        <w:t xml:space="preserve">Pistas para la investigación </w:t>
      </w:r>
      <w:r w:rsidR="00E632F7" w:rsidRPr="00E632F7">
        <w:rPr>
          <w:rFonts w:ascii="Century Gothic" w:hAnsi="Century Gothic"/>
          <w:i/>
          <w:iCs/>
          <w:color w:val="AA3035"/>
        </w:rPr>
        <w:t xml:space="preserve">sobre el elemento lúdico </w:t>
      </w:r>
    </w:p>
    <w:p w14:paraId="16E89155" w14:textId="77777777" w:rsidR="005E2702" w:rsidRPr="00E632F7" w:rsidRDefault="00E632F7" w:rsidP="00E632F7">
      <w:pPr>
        <w:jc w:val="center"/>
        <w:rPr>
          <w:rFonts w:ascii="Century Gothic" w:hAnsi="Century Gothic"/>
          <w:i/>
          <w:iCs/>
          <w:color w:val="AA3035"/>
        </w:rPr>
      </w:pPr>
      <w:r w:rsidRPr="00E632F7">
        <w:rPr>
          <w:rFonts w:ascii="Century Gothic" w:hAnsi="Century Gothic"/>
          <w:i/>
          <w:iCs/>
          <w:color w:val="AA3035"/>
        </w:rPr>
        <w:t xml:space="preserve">en las artes y la cultura del siglo XX. </w:t>
      </w:r>
    </w:p>
    <w:p w14:paraId="731C3062" w14:textId="77777777" w:rsidR="00C13927" w:rsidRDefault="00C13927"/>
    <w:p w14:paraId="1B791CE2" w14:textId="77777777" w:rsidR="005E2702" w:rsidRDefault="005E2702"/>
    <w:p w14:paraId="1055D88E" w14:textId="77777777" w:rsidR="005E2702" w:rsidRDefault="005E2702"/>
    <w:p w14:paraId="486179E1" w14:textId="77777777" w:rsidR="00E632F7" w:rsidRDefault="00E632F7"/>
    <w:p w14:paraId="5E8D92B7" w14:textId="77777777" w:rsidR="005E2702" w:rsidRDefault="005E2702" w:rsidP="005E2702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5E2702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5E2702">
        <w:rPr>
          <w:rFonts w:ascii="Times New Roman" w:eastAsia="Times New Roman" w:hAnsi="Times New Roman" w:cs="Times New Roman"/>
          <w:lang w:eastAsia="es-ES_tradnl"/>
        </w:rPr>
        <w:instrText xml:space="preserve"> INCLUDEPICTURE "https://www.laboiteverte.fr/wp-content/uploads/2020/08/masked-series03.jpg" \* MERGEFORMATINET </w:instrText>
      </w:r>
      <w:r w:rsidRPr="005E2702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E2702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4529F9CE" wp14:editId="44765327">
            <wp:extent cx="4011687" cy="2518625"/>
            <wp:effectExtent l="0" t="0" r="1905" b="0"/>
            <wp:docPr id="2" name="Imagen 2" descr="Una captura de pantalla de un celular con texto e imágen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ptura de pantalla de un celular con texto e imágen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3" cy="25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702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7842587C" w14:textId="77777777" w:rsidR="00E632F7" w:rsidRPr="00E632F7" w:rsidRDefault="00E632F7" w:rsidP="005E2702">
      <w:pPr>
        <w:jc w:val="center"/>
        <w:rPr>
          <w:rFonts w:ascii="Times New Roman" w:eastAsia="Times New Roman" w:hAnsi="Times New Roman" w:cs="Times New Roman"/>
          <w:sz w:val="10"/>
          <w:szCs w:val="10"/>
          <w:lang w:eastAsia="es-ES_tradnl"/>
        </w:rPr>
      </w:pPr>
    </w:p>
    <w:p w14:paraId="24497D5E" w14:textId="77777777" w:rsidR="00E632F7" w:rsidRPr="00E632F7" w:rsidRDefault="00E632F7" w:rsidP="005E2702">
      <w:pPr>
        <w:jc w:val="center"/>
        <w:rPr>
          <w:rFonts w:ascii="Didot" w:eastAsia="Times New Roman" w:hAnsi="Didot" w:cs="Didot"/>
          <w:sz w:val="16"/>
          <w:szCs w:val="16"/>
          <w:lang w:eastAsia="es-ES_tradnl"/>
        </w:rPr>
      </w:pPr>
      <w:r w:rsidRPr="00E632F7">
        <w:rPr>
          <w:rFonts w:ascii="Didot" w:eastAsia="Times New Roman" w:hAnsi="Didot" w:cs="Didot" w:hint="cs"/>
          <w:sz w:val="16"/>
          <w:szCs w:val="16"/>
          <w:lang w:eastAsia="es-ES_tradnl"/>
        </w:rPr>
        <w:t xml:space="preserve">Inge </w:t>
      </w:r>
      <w:proofErr w:type="spellStart"/>
      <w:r w:rsidRPr="00E632F7">
        <w:rPr>
          <w:rFonts w:ascii="Didot" w:eastAsia="Times New Roman" w:hAnsi="Didot" w:cs="Didot" w:hint="cs"/>
          <w:sz w:val="16"/>
          <w:szCs w:val="16"/>
          <w:lang w:eastAsia="es-ES_tradnl"/>
        </w:rPr>
        <w:t>Morath</w:t>
      </w:r>
      <w:proofErr w:type="spellEnd"/>
      <w:r w:rsidRPr="00E632F7">
        <w:rPr>
          <w:rFonts w:ascii="Didot" w:eastAsia="Times New Roman" w:hAnsi="Didot" w:cs="Didot" w:hint="cs"/>
          <w:sz w:val="16"/>
          <w:szCs w:val="16"/>
          <w:lang w:eastAsia="es-ES_tradnl"/>
        </w:rPr>
        <w:t xml:space="preserve">, </w:t>
      </w:r>
      <w:r w:rsidRPr="00E632F7">
        <w:rPr>
          <w:rFonts w:ascii="Didot" w:eastAsia="Times New Roman" w:hAnsi="Didot" w:cs="Didot" w:hint="cs"/>
          <w:i/>
          <w:iCs/>
          <w:sz w:val="16"/>
          <w:szCs w:val="16"/>
          <w:lang w:eastAsia="es-ES_tradnl"/>
        </w:rPr>
        <w:t>Sin título</w:t>
      </w:r>
      <w:r w:rsidRPr="00E632F7">
        <w:rPr>
          <w:rFonts w:ascii="Didot" w:eastAsia="Times New Roman" w:hAnsi="Didot" w:cs="Didot" w:hint="cs"/>
          <w:sz w:val="16"/>
          <w:szCs w:val="16"/>
          <w:lang w:eastAsia="es-ES_tradnl"/>
        </w:rPr>
        <w:t xml:space="preserve"> (máscaras de Saul Steinberg), 1962. </w:t>
      </w:r>
    </w:p>
    <w:p w14:paraId="325B3D6A" w14:textId="77777777" w:rsidR="00E632F7" w:rsidRPr="0015389D" w:rsidRDefault="00E632F7" w:rsidP="005E2702">
      <w:pPr>
        <w:jc w:val="center"/>
        <w:rPr>
          <w:rFonts w:ascii="Didot" w:eastAsia="Times New Roman" w:hAnsi="Didot" w:cs="Didot"/>
          <w:sz w:val="16"/>
          <w:szCs w:val="16"/>
          <w:lang w:val="en-US" w:eastAsia="es-ES_tradnl"/>
        </w:rPr>
      </w:pPr>
      <w:r w:rsidRPr="0015389D">
        <w:rPr>
          <w:rFonts w:ascii="Didot" w:eastAsia="Times New Roman" w:hAnsi="Didot" w:cs="Didot" w:hint="cs"/>
          <w:sz w:val="16"/>
          <w:szCs w:val="16"/>
          <w:lang w:val="en-US" w:eastAsia="es-ES_tradnl"/>
        </w:rPr>
        <w:t xml:space="preserve">© The Inge Morath Estate/Magnum Photos. The Saul Steinberg Foundation/ARS, NY </w:t>
      </w:r>
    </w:p>
    <w:p w14:paraId="714FE32C" w14:textId="77777777" w:rsidR="005E2702" w:rsidRPr="0015389D" w:rsidRDefault="005E2702">
      <w:pPr>
        <w:rPr>
          <w:lang w:val="en-US"/>
        </w:rPr>
      </w:pPr>
    </w:p>
    <w:p w14:paraId="20CAFCC2" w14:textId="77777777" w:rsidR="00EA74F3" w:rsidRPr="0015389D" w:rsidRDefault="00EA74F3">
      <w:pPr>
        <w:rPr>
          <w:lang w:val="en-US"/>
        </w:rPr>
      </w:pPr>
    </w:p>
    <w:p w14:paraId="264F5600" w14:textId="77777777" w:rsidR="00E632F7" w:rsidRPr="0015389D" w:rsidRDefault="00E632F7">
      <w:pPr>
        <w:rPr>
          <w:lang w:val="en-US"/>
        </w:rPr>
      </w:pPr>
    </w:p>
    <w:p w14:paraId="4CA30854" w14:textId="77777777" w:rsidR="00E632F7" w:rsidRPr="0015389D" w:rsidRDefault="00E632F7">
      <w:pPr>
        <w:rPr>
          <w:lang w:val="en-US"/>
        </w:rPr>
      </w:pPr>
    </w:p>
    <w:p w14:paraId="25835F8D" w14:textId="77777777" w:rsidR="00E632F7" w:rsidRPr="00E632F7" w:rsidRDefault="00E632F7" w:rsidP="00E632F7">
      <w:pPr>
        <w:jc w:val="center"/>
        <w:rPr>
          <w:rFonts w:ascii="Century Gothic" w:hAnsi="Century Gothic"/>
          <w:sz w:val="22"/>
          <w:szCs w:val="22"/>
        </w:rPr>
      </w:pPr>
      <w:r w:rsidRPr="00E632F7">
        <w:rPr>
          <w:rFonts w:ascii="Century Gothic" w:hAnsi="Century Gothic"/>
          <w:sz w:val="22"/>
          <w:szCs w:val="22"/>
        </w:rPr>
        <w:t xml:space="preserve">Sesión de formación </w:t>
      </w:r>
      <w:r>
        <w:rPr>
          <w:rFonts w:ascii="Century Gothic" w:hAnsi="Century Gothic"/>
          <w:sz w:val="22"/>
          <w:szCs w:val="22"/>
        </w:rPr>
        <w:t>y</w:t>
      </w:r>
      <w:r w:rsidRPr="00E632F7">
        <w:rPr>
          <w:rFonts w:ascii="Century Gothic" w:hAnsi="Century Gothic"/>
          <w:sz w:val="22"/>
          <w:szCs w:val="22"/>
        </w:rPr>
        <w:t xml:space="preserve"> clausura del Simposio internacional ARSLUDI</w:t>
      </w:r>
    </w:p>
    <w:p w14:paraId="3BF56051" w14:textId="77777777" w:rsidR="00E632F7" w:rsidRDefault="00E632F7" w:rsidP="00E632F7">
      <w:pPr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4F7CD0D3" w14:textId="77777777" w:rsidR="00E632F7" w:rsidRDefault="00E632F7" w:rsidP="00E632F7">
      <w:pPr>
        <w:jc w:val="center"/>
        <w:rPr>
          <w:rFonts w:ascii="Century Gothic" w:hAnsi="Century Gothic"/>
          <w:b/>
          <w:bCs/>
          <w:sz w:val="22"/>
          <w:szCs w:val="22"/>
        </w:rPr>
      </w:pPr>
      <w:r w:rsidRPr="00E632F7">
        <w:rPr>
          <w:rFonts w:ascii="Century Gothic" w:hAnsi="Century Gothic"/>
          <w:b/>
          <w:bCs/>
          <w:sz w:val="22"/>
          <w:szCs w:val="22"/>
        </w:rPr>
        <w:t>Jueves 15 de febrero 2024</w:t>
      </w:r>
    </w:p>
    <w:p w14:paraId="026420D9" w14:textId="77777777" w:rsidR="00E632F7" w:rsidRPr="00E632F7" w:rsidRDefault="00E632F7" w:rsidP="00E632F7">
      <w:pPr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564CD16A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Presentación a cargo de Oriol Vaz-Romero Trueba</w:t>
      </w:r>
    </w:p>
    <w:p w14:paraId="5C0AAC45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Sala de Actos - </w:t>
      </w:r>
      <w:r w:rsidRPr="00E632F7">
        <w:rPr>
          <w:rFonts w:ascii="Century Gothic" w:hAnsi="Century Gothic"/>
          <w:sz w:val="22"/>
          <w:szCs w:val="22"/>
        </w:rPr>
        <w:t>Facultat de Belles Arts</w:t>
      </w:r>
    </w:p>
    <w:p w14:paraId="207FBEF7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proofErr w:type="spellStart"/>
      <w:r w:rsidRPr="00E632F7">
        <w:rPr>
          <w:rFonts w:ascii="Century Gothic" w:hAnsi="Century Gothic"/>
          <w:sz w:val="22"/>
          <w:szCs w:val="22"/>
        </w:rPr>
        <w:t>Universitat</w:t>
      </w:r>
      <w:proofErr w:type="spellEnd"/>
      <w:r w:rsidRPr="00E632F7">
        <w:rPr>
          <w:rFonts w:ascii="Century Gothic" w:hAnsi="Century Gothic"/>
          <w:sz w:val="22"/>
          <w:szCs w:val="22"/>
        </w:rPr>
        <w:t xml:space="preserve"> de Barcelona</w:t>
      </w:r>
    </w:p>
    <w:p w14:paraId="5FCDD2C9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761C46AD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35D05D00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158C901C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4C81441C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161EBA05" w14:textId="77777777" w:rsidR="00E632F7" w:rsidRPr="00CC3370" w:rsidRDefault="00E632F7" w:rsidP="00E632F7">
      <w:pPr>
        <w:spacing w:line="276" w:lineRule="auto"/>
        <w:jc w:val="center"/>
        <w:rPr>
          <w:rFonts w:ascii="Century Gothic" w:hAnsi="Century Gothic"/>
          <w:b/>
          <w:bCs/>
          <w:color w:val="AA3035"/>
        </w:rPr>
      </w:pPr>
      <w:r w:rsidRPr="00CC3370">
        <w:rPr>
          <w:rFonts w:ascii="Century Gothic" w:hAnsi="Century Gothic"/>
          <w:b/>
          <w:bCs/>
          <w:color w:val="AA3035"/>
        </w:rPr>
        <w:t xml:space="preserve">Resumen de la formación </w:t>
      </w:r>
    </w:p>
    <w:p w14:paraId="33D30F1C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42F76EFA" w14:textId="77777777" w:rsidR="00CC3370" w:rsidRDefault="00CC3370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29694370" w14:textId="57D6CE8E" w:rsidR="00E632F7" w:rsidRDefault="00E632F7" w:rsidP="00E632F7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Como clausura adicional del Simposio Internacional ARSLUDI, celebrado en el Museo Picasso los días 24, 25 y 26 de enero 2024, el Dr. Miguel Ángel Quintana Paz, director académico del Instituto Superior de Sociología, Economía y Política (ISSEP) de Madrid, impartirá una formación para los miembros del equipo </w:t>
      </w:r>
      <w:r w:rsidR="00CC3370">
        <w:rPr>
          <w:rFonts w:ascii="Century Gothic" w:hAnsi="Century Gothic"/>
          <w:sz w:val="22"/>
          <w:szCs w:val="22"/>
        </w:rPr>
        <w:t xml:space="preserve">ARSLUDI sobre la teoría fundamental del juego en el arte moderno y contemporáneo a partir de los textos de Friedrich Nietzsche (1844-1900) y </w:t>
      </w:r>
      <w:r w:rsidR="0015389D">
        <w:rPr>
          <w:rFonts w:ascii="Century Gothic" w:hAnsi="Century Gothic"/>
          <w:sz w:val="22"/>
          <w:szCs w:val="22"/>
        </w:rPr>
        <w:t xml:space="preserve">el diálogo que estableció con ellos </w:t>
      </w:r>
      <w:r w:rsidR="00CC3370">
        <w:rPr>
          <w:rFonts w:ascii="Century Gothic" w:hAnsi="Century Gothic"/>
          <w:sz w:val="22"/>
          <w:szCs w:val="22"/>
        </w:rPr>
        <w:t xml:space="preserve">el filósofo Gianni Vattimo (1936-2023), fallecido hace poco más de dos meses. Quintana Paz trabajó como investigador postdoctoral en la Università degli Studi di Torino, bajo la dirección del mismo Vattimo, por lo que </w:t>
      </w:r>
      <w:r w:rsidR="0015389D">
        <w:rPr>
          <w:rFonts w:ascii="Century Gothic" w:hAnsi="Century Gothic"/>
          <w:sz w:val="22"/>
          <w:szCs w:val="22"/>
        </w:rPr>
        <w:t>puede ser</w:t>
      </w:r>
      <w:r w:rsidR="00CC3370">
        <w:rPr>
          <w:rFonts w:ascii="Century Gothic" w:hAnsi="Century Gothic"/>
          <w:sz w:val="22"/>
          <w:szCs w:val="22"/>
        </w:rPr>
        <w:t xml:space="preserve"> considerado </w:t>
      </w:r>
      <w:r w:rsidR="0015389D">
        <w:rPr>
          <w:rFonts w:ascii="Century Gothic" w:hAnsi="Century Gothic"/>
          <w:sz w:val="22"/>
          <w:szCs w:val="22"/>
        </w:rPr>
        <w:t xml:space="preserve">como </w:t>
      </w:r>
      <w:r w:rsidR="00CC3370">
        <w:rPr>
          <w:rFonts w:ascii="Century Gothic" w:hAnsi="Century Gothic"/>
          <w:sz w:val="22"/>
          <w:szCs w:val="22"/>
        </w:rPr>
        <w:t xml:space="preserve">uno de los intérpretes más acreditados del pensamiento del filósofo italiano en España y el mundo hispanófono. </w:t>
      </w:r>
    </w:p>
    <w:p w14:paraId="464CF8A1" w14:textId="77777777" w:rsidR="00CC3370" w:rsidRDefault="00CC3370" w:rsidP="00E632F7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11EB0345" w14:textId="686BE594" w:rsidR="00BB5D7B" w:rsidRDefault="00BB5D7B" w:rsidP="00BB5D7B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Para ello, Quintana Paz se centrará</w:t>
      </w:r>
      <w:r w:rsidRPr="00BB5D7B">
        <w:rPr>
          <w:rFonts w:ascii="Century Gothic" w:hAnsi="Century Gothic"/>
          <w:sz w:val="22"/>
          <w:szCs w:val="22"/>
        </w:rPr>
        <w:t xml:space="preserve"> en el rédito que le saca Vattimo a la noción de </w:t>
      </w:r>
      <w:r>
        <w:rPr>
          <w:rFonts w:ascii="Century Gothic" w:hAnsi="Century Gothic"/>
          <w:sz w:val="22"/>
          <w:szCs w:val="22"/>
        </w:rPr>
        <w:t>“</w:t>
      </w:r>
      <w:r w:rsidRPr="00BB5D7B">
        <w:rPr>
          <w:rFonts w:ascii="Century Gothic" w:hAnsi="Century Gothic"/>
          <w:sz w:val="22"/>
          <w:szCs w:val="22"/>
        </w:rPr>
        <w:t>juego</w:t>
      </w:r>
      <w:r>
        <w:rPr>
          <w:rFonts w:ascii="Century Gothic" w:hAnsi="Century Gothic"/>
          <w:sz w:val="22"/>
          <w:szCs w:val="22"/>
        </w:rPr>
        <w:t>”</w:t>
      </w:r>
      <w:r w:rsidRPr="00BB5D7B">
        <w:rPr>
          <w:rFonts w:ascii="Century Gothic" w:hAnsi="Century Gothic"/>
          <w:sz w:val="22"/>
          <w:szCs w:val="22"/>
        </w:rPr>
        <w:t xml:space="preserve"> en </w:t>
      </w:r>
      <w:r>
        <w:rPr>
          <w:rFonts w:ascii="Century Gothic" w:hAnsi="Century Gothic"/>
          <w:sz w:val="22"/>
          <w:szCs w:val="22"/>
        </w:rPr>
        <w:t>el terreno ontológico</w:t>
      </w:r>
      <w:r w:rsidRPr="00BB5D7B">
        <w:rPr>
          <w:rFonts w:ascii="Century Gothic" w:hAnsi="Century Gothic"/>
          <w:sz w:val="22"/>
          <w:szCs w:val="22"/>
        </w:rPr>
        <w:t xml:space="preserve"> a través de su lectura de Nietzsche</w:t>
      </w:r>
      <w:r>
        <w:rPr>
          <w:rFonts w:ascii="Century Gothic" w:hAnsi="Century Gothic"/>
          <w:sz w:val="22"/>
          <w:szCs w:val="22"/>
        </w:rPr>
        <w:t xml:space="preserve">. Si bien se trata de explorar las posibilidades investigadoras de un posicionamiento ético-filosófico (comparable por su transversalidad con el concepto de juego en Huizinga y </w:t>
      </w:r>
      <w:proofErr w:type="spellStart"/>
      <w:r>
        <w:rPr>
          <w:rFonts w:ascii="Century Gothic" w:hAnsi="Century Gothic"/>
          <w:sz w:val="22"/>
          <w:szCs w:val="22"/>
        </w:rPr>
        <w:t>Caillois</w:t>
      </w:r>
      <w:proofErr w:type="spellEnd"/>
      <w:r>
        <w:rPr>
          <w:rFonts w:ascii="Century Gothic" w:hAnsi="Century Gothic"/>
          <w:sz w:val="22"/>
          <w:szCs w:val="22"/>
        </w:rPr>
        <w:t>), el planteamiento no orilla la orientación más estética, que el profesor y formador invitado ilustrará a partir de fenómenos y movimientos prop</w:t>
      </w:r>
      <w:r w:rsidR="0015389D">
        <w:rPr>
          <w:rFonts w:ascii="Century Gothic" w:hAnsi="Century Gothic"/>
          <w:sz w:val="22"/>
          <w:szCs w:val="22"/>
        </w:rPr>
        <w:t>ios de lo que se ha venido a denominar como posmodernidad, dentro de la cual Gianni Vattimo destacó con voz propia bajo el emblema, acuñado por Pier Aldo Rovatti y él mismo, del “pensamiento débil”</w:t>
      </w:r>
      <w:r w:rsidRPr="00BB5D7B">
        <w:rPr>
          <w:rFonts w:ascii="Century Gothic" w:hAnsi="Century Gothic"/>
          <w:sz w:val="22"/>
          <w:szCs w:val="22"/>
        </w:rPr>
        <w:t xml:space="preserve">. </w:t>
      </w:r>
      <w:r w:rsidR="0015389D">
        <w:rPr>
          <w:rFonts w:ascii="Century Gothic" w:hAnsi="Century Gothic"/>
          <w:sz w:val="22"/>
          <w:szCs w:val="22"/>
        </w:rPr>
        <w:t xml:space="preserve">Por otra parte, la formación establecerá asimismo un diálogo con la crítica que sobre estos mismos asuntos desarrollaría otro discípulo de Luigi Pareyson (y condiscípulo, por tanto, de Vattimo) como </w:t>
      </w:r>
      <w:r>
        <w:rPr>
          <w:rFonts w:ascii="Century Gothic" w:hAnsi="Century Gothic"/>
          <w:sz w:val="22"/>
          <w:szCs w:val="22"/>
        </w:rPr>
        <w:t xml:space="preserve">el catedrático de </w:t>
      </w:r>
      <w:r w:rsidR="0015389D">
        <w:rPr>
          <w:rFonts w:ascii="Century Gothic" w:hAnsi="Century Gothic"/>
          <w:sz w:val="22"/>
          <w:szCs w:val="22"/>
        </w:rPr>
        <w:t>E</w:t>
      </w:r>
      <w:r>
        <w:rPr>
          <w:rFonts w:ascii="Century Gothic" w:hAnsi="Century Gothic"/>
          <w:sz w:val="22"/>
          <w:szCs w:val="22"/>
        </w:rPr>
        <w:t>stética</w:t>
      </w:r>
      <w:r w:rsidR="0015389D">
        <w:rPr>
          <w:rFonts w:ascii="Century Gothic" w:hAnsi="Century Gothic"/>
          <w:sz w:val="22"/>
          <w:szCs w:val="22"/>
        </w:rPr>
        <w:t xml:space="preserve"> en la Universidad de Roma II, Tor Vergata, profesor</w:t>
      </w:r>
      <w:r>
        <w:rPr>
          <w:rFonts w:ascii="Century Gothic" w:hAnsi="Century Gothic"/>
          <w:sz w:val="22"/>
          <w:szCs w:val="22"/>
        </w:rPr>
        <w:t xml:space="preserve"> Mario Perniola (1941-2018), </w:t>
      </w:r>
      <w:r w:rsidRPr="00BB5D7B">
        <w:rPr>
          <w:rFonts w:ascii="Century Gothic" w:hAnsi="Century Gothic"/>
          <w:sz w:val="22"/>
          <w:szCs w:val="22"/>
        </w:rPr>
        <w:t xml:space="preserve">que también fue maestro </w:t>
      </w:r>
      <w:r>
        <w:rPr>
          <w:rFonts w:ascii="Century Gothic" w:hAnsi="Century Gothic"/>
          <w:sz w:val="22"/>
          <w:szCs w:val="22"/>
        </w:rPr>
        <w:t xml:space="preserve">de Quintana Paz </w:t>
      </w:r>
      <w:r w:rsidR="0015389D">
        <w:rPr>
          <w:rFonts w:ascii="Century Gothic" w:hAnsi="Century Gothic"/>
          <w:sz w:val="22"/>
          <w:szCs w:val="22"/>
        </w:rPr>
        <w:t>durante</w:t>
      </w:r>
      <w:r>
        <w:rPr>
          <w:rFonts w:ascii="Century Gothic" w:hAnsi="Century Gothic"/>
          <w:sz w:val="22"/>
          <w:szCs w:val="22"/>
        </w:rPr>
        <w:t xml:space="preserve"> s</w:t>
      </w:r>
      <w:r w:rsidR="0015389D">
        <w:rPr>
          <w:rFonts w:ascii="Century Gothic" w:hAnsi="Century Gothic"/>
          <w:sz w:val="22"/>
          <w:szCs w:val="22"/>
        </w:rPr>
        <w:t>us estudios de grado</w:t>
      </w:r>
      <w:r>
        <w:rPr>
          <w:rFonts w:ascii="Century Gothic" w:hAnsi="Century Gothic"/>
          <w:sz w:val="22"/>
          <w:szCs w:val="22"/>
        </w:rPr>
        <w:t xml:space="preserve"> </w:t>
      </w:r>
      <w:r w:rsidR="0015389D">
        <w:rPr>
          <w:rFonts w:ascii="Century Gothic" w:hAnsi="Century Gothic"/>
          <w:sz w:val="22"/>
          <w:szCs w:val="22"/>
        </w:rPr>
        <w:t>en</w:t>
      </w:r>
      <w:r>
        <w:rPr>
          <w:rFonts w:ascii="Century Gothic" w:hAnsi="Century Gothic"/>
          <w:sz w:val="22"/>
          <w:szCs w:val="22"/>
        </w:rPr>
        <w:t xml:space="preserve"> Roma. </w:t>
      </w:r>
    </w:p>
    <w:p w14:paraId="7FE92C2E" w14:textId="77777777" w:rsidR="00BB5D7B" w:rsidRDefault="00BB5D7B" w:rsidP="00E632F7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2F50D0CE" w14:textId="3DE5CC19" w:rsidR="007A7067" w:rsidRDefault="00CC3370" w:rsidP="00E632F7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El objetivo esencial de esta formación es, en un primer lugar, esclarecer el papel del juego nietzscheano y cómo impactó dicho imaginario en </w:t>
      </w:r>
      <w:r w:rsidR="0015389D">
        <w:rPr>
          <w:rFonts w:ascii="Century Gothic" w:hAnsi="Century Gothic"/>
          <w:sz w:val="22"/>
          <w:szCs w:val="22"/>
        </w:rPr>
        <w:t xml:space="preserve">el pensamiento y la actividad cultural del siglo XX </w:t>
      </w:r>
      <w:r w:rsidR="00BB5D7B">
        <w:rPr>
          <w:rFonts w:ascii="Century Gothic" w:hAnsi="Century Gothic"/>
          <w:sz w:val="22"/>
          <w:szCs w:val="22"/>
        </w:rPr>
        <w:t xml:space="preserve">y sus postrimerías </w:t>
      </w:r>
      <w:proofErr w:type="spellStart"/>
      <w:r w:rsidR="007A7067">
        <w:rPr>
          <w:rFonts w:ascii="Century Gothic" w:hAnsi="Century Gothic"/>
          <w:sz w:val="22"/>
          <w:szCs w:val="22"/>
        </w:rPr>
        <w:t>post-auráticas</w:t>
      </w:r>
      <w:proofErr w:type="spellEnd"/>
      <w:r>
        <w:rPr>
          <w:rFonts w:ascii="Century Gothic" w:hAnsi="Century Gothic"/>
          <w:sz w:val="22"/>
          <w:szCs w:val="22"/>
        </w:rPr>
        <w:t xml:space="preserve">. </w:t>
      </w:r>
    </w:p>
    <w:p w14:paraId="4A673E7C" w14:textId="77777777" w:rsidR="007A7067" w:rsidRDefault="007A7067" w:rsidP="00E632F7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75D4F81B" w14:textId="237AD981" w:rsidR="00CC3370" w:rsidRDefault="00CC3370" w:rsidP="00E632F7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 segundo lugar, la formación de Quintana Paz se propone ayudarnos a vislumbrar los posibles ejes y temas de investigación inéditos, derivados de esta línea hermenéutica y aplicados especialmente al contexto de</w:t>
      </w:r>
      <w:r w:rsidR="0015389D">
        <w:rPr>
          <w:rFonts w:ascii="Century Gothic" w:hAnsi="Century Gothic"/>
          <w:sz w:val="22"/>
          <w:szCs w:val="22"/>
        </w:rPr>
        <w:t xml:space="preserve"> la cultura y</w:t>
      </w:r>
      <w:r>
        <w:rPr>
          <w:rFonts w:ascii="Century Gothic" w:hAnsi="Century Gothic"/>
          <w:sz w:val="22"/>
          <w:szCs w:val="22"/>
        </w:rPr>
        <w:t xml:space="preserve"> arte español</w:t>
      </w:r>
      <w:r w:rsidR="0015389D">
        <w:rPr>
          <w:rFonts w:ascii="Century Gothic" w:hAnsi="Century Gothic"/>
          <w:sz w:val="22"/>
          <w:szCs w:val="22"/>
        </w:rPr>
        <w:t>es</w:t>
      </w:r>
      <w:r>
        <w:rPr>
          <w:rFonts w:ascii="Century Gothic" w:hAnsi="Century Gothic"/>
          <w:sz w:val="22"/>
          <w:szCs w:val="22"/>
        </w:rPr>
        <w:t xml:space="preserve"> del último siglo. Se trata de reflexionar, junto con los miembros de ARSLUDI, </w:t>
      </w:r>
      <w:r w:rsidR="00BB5D7B">
        <w:rPr>
          <w:rFonts w:ascii="Century Gothic" w:hAnsi="Century Gothic"/>
          <w:sz w:val="22"/>
          <w:szCs w:val="22"/>
        </w:rPr>
        <w:t>sobre la viabilidad de</w:t>
      </w:r>
      <w:r>
        <w:rPr>
          <w:rFonts w:ascii="Century Gothic" w:hAnsi="Century Gothic"/>
          <w:sz w:val="22"/>
          <w:szCs w:val="22"/>
        </w:rPr>
        <w:t xml:space="preserve"> elaborar un proyecto de investigación </w:t>
      </w:r>
      <w:r>
        <w:rPr>
          <w:rFonts w:ascii="Century Gothic" w:hAnsi="Century Gothic"/>
          <w:sz w:val="22"/>
          <w:szCs w:val="22"/>
        </w:rPr>
        <w:lastRenderedPageBreak/>
        <w:t xml:space="preserve">competitivo, tipo I+D+i </w:t>
      </w:r>
      <w:r w:rsidRPr="00CC3370">
        <w:rPr>
          <w:rFonts w:ascii="Century Gothic" w:hAnsi="Century Gothic"/>
          <w:sz w:val="22"/>
          <w:szCs w:val="22"/>
        </w:rPr>
        <w:t xml:space="preserve">Programa Estatal de Generación de Conocimiento </w:t>
      </w:r>
      <w:r>
        <w:rPr>
          <w:rFonts w:ascii="Century Gothic" w:hAnsi="Century Gothic"/>
          <w:sz w:val="22"/>
          <w:szCs w:val="22"/>
        </w:rPr>
        <w:t xml:space="preserve">(investigación fundamental no orientada), </w:t>
      </w:r>
      <w:r w:rsidR="00BB5D7B">
        <w:rPr>
          <w:rFonts w:ascii="Century Gothic" w:hAnsi="Century Gothic"/>
          <w:sz w:val="22"/>
          <w:szCs w:val="22"/>
        </w:rPr>
        <w:t xml:space="preserve">que podría solicitarse en la convocatoria 2024/2025. </w:t>
      </w:r>
    </w:p>
    <w:p w14:paraId="063F1494" w14:textId="77777777" w:rsidR="00BB5D7B" w:rsidRDefault="00BB5D7B" w:rsidP="00E632F7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3D05337A" w14:textId="77777777" w:rsidR="00CC3370" w:rsidRDefault="00CC3370" w:rsidP="00E632F7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0B94B4A0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62E227C7" w14:textId="77777777" w:rsidR="00E632F7" w:rsidRDefault="00E632F7" w:rsidP="00E632F7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191CEC57" w14:textId="77777777" w:rsidR="007A7067" w:rsidRDefault="007A706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BB5D7B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7676B71" wp14:editId="25916F8C">
            <wp:simplePos x="0" y="0"/>
            <wp:positionH relativeFrom="column">
              <wp:posOffset>10559</wp:posOffset>
            </wp:positionH>
            <wp:positionV relativeFrom="paragraph">
              <wp:posOffset>148521</wp:posOffset>
            </wp:positionV>
            <wp:extent cx="1351495" cy="1370747"/>
            <wp:effectExtent l="0" t="0" r="0" b="1270"/>
            <wp:wrapSquare wrapText="bothSides"/>
            <wp:docPr id="4" name="Imagen 4" descr="La cara de un hombr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a cara de un hombre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495" cy="1370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3806E" w14:textId="77777777" w:rsidR="00E632F7" w:rsidRPr="00E632F7" w:rsidRDefault="00E632F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A7067">
        <w:rPr>
          <w:rFonts w:ascii="Century Gothic" w:hAnsi="Century Gothic"/>
          <w:b/>
          <w:bCs/>
          <w:sz w:val="20"/>
          <w:szCs w:val="20"/>
        </w:rPr>
        <w:t>Miguel Ángel Quintana Paz</w:t>
      </w:r>
      <w:r w:rsidRPr="00E632F7">
        <w:rPr>
          <w:rFonts w:ascii="Century Gothic" w:hAnsi="Century Gothic"/>
          <w:sz w:val="20"/>
          <w:szCs w:val="20"/>
        </w:rPr>
        <w:t xml:space="preserve"> (Salamanca, 1973). Director académico del Instituto Superior de Sociología, Economía y Política (ISSEP)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en su sede de Madrid, donde también es profesor, así como en el título de Experto en Comunicación Social de la Universidad Pontificia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de Salamanca.</w:t>
      </w:r>
    </w:p>
    <w:p w14:paraId="6C829FA0" w14:textId="77777777" w:rsidR="007A7067" w:rsidRDefault="007A706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6A32A8A5" w14:textId="77777777" w:rsidR="007A7067" w:rsidRDefault="00E632F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E632F7">
        <w:rPr>
          <w:rFonts w:ascii="Century Gothic" w:hAnsi="Century Gothic"/>
          <w:sz w:val="20"/>
          <w:szCs w:val="20"/>
        </w:rPr>
        <w:t>Fue Profesor Titular en la Facultad de Ciencias Sociales de la Universidad Europea Miguel de Cervantes (Valladolid, España) entre 2006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y 2021; Lonergan Post-Doctoral Fellow del Boston College (2008); Profesor Adjunto en la Universidad Pontificia de Salamanca (2004-2006) y Profesor visitante en la Universidad del Rosario (Bogotá, Colombia, 1998) y Universidad Nacional de Santiago del Estero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(Argentina, 1996). También ha ejercido como investigador en las universidades de Turín (2002-2004, dirigido por Gianni Vattimo), Viena,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SUNY (Nueva York), Libre de Bruselas, LUISS (Roma), Malta y Salamanca, donde se licenció en 1996 (Tercer Premio Nacional de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Terminación de Estudios en Filosofía) y doctoró en 2002 con Premio Extraordinario.</w:t>
      </w:r>
      <w:r w:rsidR="007A7067">
        <w:rPr>
          <w:rFonts w:ascii="Century Gothic" w:hAnsi="Century Gothic"/>
          <w:sz w:val="20"/>
          <w:szCs w:val="20"/>
        </w:rPr>
        <w:t xml:space="preserve"> </w:t>
      </w:r>
    </w:p>
    <w:p w14:paraId="347CB4F5" w14:textId="77777777" w:rsidR="007A7067" w:rsidRDefault="007A706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2F36EDE0" w14:textId="77777777" w:rsidR="007A7067" w:rsidRDefault="00E632F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E632F7">
        <w:rPr>
          <w:rFonts w:ascii="Century Gothic" w:hAnsi="Century Gothic"/>
          <w:sz w:val="20"/>
          <w:szCs w:val="20"/>
        </w:rPr>
        <w:t>Ha publicado libros de filosofía (</w:t>
      </w:r>
      <w:r w:rsidRPr="007A7067">
        <w:rPr>
          <w:rFonts w:ascii="Century Gothic" w:hAnsi="Century Gothic"/>
          <w:i/>
          <w:iCs/>
          <w:sz w:val="20"/>
          <w:szCs w:val="20"/>
        </w:rPr>
        <w:t>Sapere aude, o ¿cabe llamarnos aún ilustrados?</w:t>
      </w:r>
      <w:r w:rsidRPr="00E632F7">
        <w:rPr>
          <w:rFonts w:ascii="Century Gothic" w:hAnsi="Century Gothic"/>
          <w:sz w:val="20"/>
          <w:szCs w:val="20"/>
        </w:rPr>
        <w:t xml:space="preserve">, UEMC, 2018; </w:t>
      </w:r>
      <w:r w:rsidRPr="007A7067">
        <w:rPr>
          <w:rFonts w:ascii="Century Gothic" w:hAnsi="Century Gothic"/>
          <w:i/>
          <w:iCs/>
          <w:sz w:val="20"/>
          <w:szCs w:val="20"/>
        </w:rPr>
        <w:t>Reglas. Un ensayo de introducción a la</w:t>
      </w:r>
      <w:r w:rsidR="007A7067"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7A7067">
        <w:rPr>
          <w:rFonts w:ascii="Century Gothic" w:hAnsi="Century Gothic"/>
          <w:i/>
          <w:iCs/>
          <w:sz w:val="20"/>
          <w:szCs w:val="20"/>
        </w:rPr>
        <w:t>hermenéutica de manos de Wittgenstein y Sherlock Holmes</w:t>
      </w:r>
      <w:r w:rsidRPr="00E632F7">
        <w:rPr>
          <w:rFonts w:ascii="Century Gothic" w:hAnsi="Century Gothic"/>
          <w:sz w:val="20"/>
          <w:szCs w:val="20"/>
        </w:rPr>
        <w:t xml:space="preserve">, Ápeiron, 2017; </w:t>
      </w:r>
      <w:r w:rsidRPr="007A7067">
        <w:rPr>
          <w:rFonts w:ascii="Century Gothic" w:hAnsi="Century Gothic"/>
          <w:i/>
          <w:iCs/>
          <w:sz w:val="20"/>
          <w:szCs w:val="20"/>
        </w:rPr>
        <w:t>Normatividad, interpretación y praxis</w:t>
      </w:r>
      <w:r w:rsidRPr="00E632F7">
        <w:rPr>
          <w:rFonts w:ascii="Century Gothic" w:hAnsi="Century Gothic"/>
          <w:sz w:val="20"/>
          <w:szCs w:val="20"/>
        </w:rPr>
        <w:t>, UEMC, 2014), de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narrativa (</w:t>
      </w:r>
      <w:r w:rsidRPr="007A7067">
        <w:rPr>
          <w:rFonts w:ascii="Century Gothic" w:hAnsi="Century Gothic"/>
          <w:i/>
          <w:iCs/>
          <w:sz w:val="20"/>
          <w:szCs w:val="20"/>
        </w:rPr>
        <w:t>Más que la vida misma</w:t>
      </w:r>
      <w:r w:rsidRPr="00E632F7">
        <w:rPr>
          <w:rFonts w:ascii="Century Gothic" w:hAnsi="Century Gothic"/>
          <w:sz w:val="20"/>
          <w:szCs w:val="20"/>
        </w:rPr>
        <w:t xml:space="preserve">, Junta de Castilla y León, 1994) y la edición y traducción de la obra de Ludwig Wittgenstein </w:t>
      </w:r>
      <w:r w:rsidRPr="007A7067">
        <w:rPr>
          <w:rFonts w:ascii="Century Gothic" w:hAnsi="Century Gothic"/>
          <w:i/>
          <w:iCs/>
          <w:sz w:val="20"/>
          <w:szCs w:val="20"/>
        </w:rPr>
        <w:t>Últimas</w:t>
      </w:r>
      <w:r w:rsidR="007A7067"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7A7067">
        <w:rPr>
          <w:rFonts w:ascii="Century Gothic" w:hAnsi="Century Gothic"/>
          <w:i/>
          <w:iCs/>
          <w:sz w:val="20"/>
          <w:szCs w:val="20"/>
        </w:rPr>
        <w:t>conversaciones</w:t>
      </w:r>
      <w:r w:rsidRPr="00E632F7">
        <w:rPr>
          <w:rFonts w:ascii="Century Gothic" w:hAnsi="Century Gothic"/>
          <w:sz w:val="20"/>
          <w:szCs w:val="20"/>
        </w:rPr>
        <w:t xml:space="preserve"> (Sígueme, 2004). Ha editado el libro </w:t>
      </w:r>
      <w:r w:rsidRPr="007A7067">
        <w:rPr>
          <w:rFonts w:ascii="Century Gothic" w:hAnsi="Century Gothic"/>
          <w:i/>
          <w:iCs/>
          <w:sz w:val="20"/>
          <w:szCs w:val="20"/>
        </w:rPr>
        <w:t>Europa, Siglo XXI: Secularización y Estados Laicos</w:t>
      </w:r>
      <w:r w:rsidRPr="00E632F7">
        <w:rPr>
          <w:rFonts w:ascii="Century Gothic" w:hAnsi="Century Gothic"/>
          <w:sz w:val="20"/>
          <w:szCs w:val="20"/>
        </w:rPr>
        <w:t xml:space="preserve"> (Ministerio de Justicia, 2006) y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 xml:space="preserve">el número 217 de la revista </w:t>
      </w:r>
      <w:r w:rsidRPr="007A7067">
        <w:rPr>
          <w:rFonts w:ascii="Century Gothic" w:hAnsi="Century Gothic"/>
          <w:i/>
          <w:iCs/>
          <w:sz w:val="20"/>
          <w:szCs w:val="20"/>
        </w:rPr>
        <w:t>Anthropos</w:t>
      </w:r>
      <w:r w:rsidRPr="00E632F7">
        <w:rPr>
          <w:rFonts w:ascii="Century Gothic" w:hAnsi="Century Gothic"/>
          <w:sz w:val="20"/>
          <w:szCs w:val="20"/>
        </w:rPr>
        <w:t xml:space="preserve"> titulado </w:t>
      </w:r>
      <w:r w:rsidR="007A7067">
        <w:rPr>
          <w:rFonts w:ascii="Century Gothic" w:hAnsi="Century Gothic"/>
          <w:sz w:val="20"/>
          <w:szCs w:val="20"/>
        </w:rPr>
        <w:t>“</w:t>
      </w:r>
      <w:r w:rsidRPr="00E632F7">
        <w:rPr>
          <w:rFonts w:ascii="Century Gothic" w:hAnsi="Century Gothic"/>
          <w:sz w:val="20"/>
          <w:szCs w:val="20"/>
        </w:rPr>
        <w:t>Gianni Vattimo: Hermeneusis e historicidad</w:t>
      </w:r>
      <w:r w:rsidR="007A7067">
        <w:rPr>
          <w:rFonts w:ascii="Century Gothic" w:hAnsi="Century Gothic"/>
          <w:sz w:val="20"/>
          <w:szCs w:val="20"/>
        </w:rPr>
        <w:t>”</w:t>
      </w:r>
      <w:r w:rsidRPr="00E632F7">
        <w:rPr>
          <w:rFonts w:ascii="Century Gothic" w:hAnsi="Century Gothic"/>
          <w:sz w:val="20"/>
          <w:szCs w:val="20"/>
        </w:rPr>
        <w:t xml:space="preserve"> (2007); y ha coeditado los libros </w:t>
      </w:r>
      <w:r w:rsidRPr="007A7067">
        <w:rPr>
          <w:rFonts w:ascii="Century Gothic" w:hAnsi="Century Gothic"/>
          <w:i/>
          <w:iCs/>
          <w:sz w:val="20"/>
          <w:szCs w:val="20"/>
        </w:rPr>
        <w:t>Acerca de la</w:t>
      </w:r>
      <w:r w:rsidR="007A7067"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7A7067">
        <w:rPr>
          <w:rFonts w:ascii="Century Gothic" w:hAnsi="Century Gothic"/>
          <w:i/>
          <w:iCs/>
          <w:sz w:val="20"/>
          <w:szCs w:val="20"/>
        </w:rPr>
        <w:t xml:space="preserve">educación en España </w:t>
      </w:r>
      <w:r w:rsidRPr="00E632F7">
        <w:rPr>
          <w:rFonts w:ascii="Century Gothic" w:hAnsi="Century Gothic"/>
          <w:sz w:val="20"/>
          <w:szCs w:val="20"/>
        </w:rPr>
        <w:t xml:space="preserve">(Fundación Progreso y Democracia, 2010), </w:t>
      </w:r>
      <w:r w:rsidRPr="007A7067">
        <w:rPr>
          <w:rFonts w:ascii="Century Gothic" w:hAnsi="Century Gothic"/>
          <w:i/>
          <w:iCs/>
          <w:sz w:val="20"/>
          <w:szCs w:val="20"/>
        </w:rPr>
        <w:t>Hans-Georg Gadamer: Ontología estética y hermenéutica</w:t>
      </w:r>
      <w:r w:rsidRPr="00E632F7">
        <w:rPr>
          <w:rFonts w:ascii="Century Gothic" w:hAnsi="Century Gothic"/>
          <w:sz w:val="20"/>
          <w:szCs w:val="20"/>
        </w:rPr>
        <w:t xml:space="preserve"> (Dykinson,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 xml:space="preserve">2005) y el número 20 de la revista </w:t>
      </w:r>
      <w:r w:rsidRPr="007A7067">
        <w:rPr>
          <w:rFonts w:ascii="Century Gothic" w:hAnsi="Century Gothic"/>
          <w:i/>
          <w:iCs/>
          <w:sz w:val="20"/>
          <w:szCs w:val="20"/>
        </w:rPr>
        <w:t>Éndoxa</w:t>
      </w:r>
      <w:r w:rsidRPr="00E632F7">
        <w:rPr>
          <w:rFonts w:ascii="Century Gothic" w:hAnsi="Century Gothic"/>
          <w:sz w:val="20"/>
          <w:szCs w:val="20"/>
        </w:rPr>
        <w:t xml:space="preserve"> titulado </w:t>
      </w:r>
      <w:r w:rsidR="007A7067">
        <w:rPr>
          <w:rFonts w:ascii="Century Gothic" w:hAnsi="Century Gothic"/>
          <w:sz w:val="20"/>
          <w:szCs w:val="20"/>
        </w:rPr>
        <w:t>“</w:t>
      </w:r>
      <w:r w:rsidRPr="00E632F7">
        <w:rPr>
          <w:rFonts w:ascii="Century Gothic" w:hAnsi="Century Gothic"/>
          <w:sz w:val="20"/>
          <w:szCs w:val="20"/>
        </w:rPr>
        <w:t xml:space="preserve">Hans-Georg Gadamer: el </w:t>
      </w:r>
      <w:proofErr w:type="spellStart"/>
      <w:r w:rsidRPr="00E632F7">
        <w:rPr>
          <w:rFonts w:ascii="Century Gothic" w:hAnsi="Century Gothic"/>
          <w:sz w:val="20"/>
          <w:szCs w:val="20"/>
        </w:rPr>
        <w:t>lógos</w:t>
      </w:r>
      <w:proofErr w:type="spellEnd"/>
      <w:r w:rsidRPr="00E632F7">
        <w:rPr>
          <w:rFonts w:ascii="Century Gothic" w:hAnsi="Century Gothic"/>
          <w:sz w:val="20"/>
          <w:szCs w:val="20"/>
        </w:rPr>
        <w:t xml:space="preserve"> de la era hermenéutica</w:t>
      </w:r>
      <w:r w:rsidR="007A7067">
        <w:rPr>
          <w:rFonts w:ascii="Century Gothic" w:hAnsi="Century Gothic"/>
          <w:sz w:val="20"/>
          <w:szCs w:val="20"/>
        </w:rPr>
        <w:t>”</w:t>
      </w:r>
      <w:r w:rsidRPr="00E632F7">
        <w:rPr>
          <w:rFonts w:ascii="Century Gothic" w:hAnsi="Century Gothic"/>
          <w:sz w:val="20"/>
          <w:szCs w:val="20"/>
        </w:rPr>
        <w:t xml:space="preserve"> (2005). </w:t>
      </w:r>
    </w:p>
    <w:p w14:paraId="6950802A" w14:textId="77777777" w:rsidR="007A7067" w:rsidRDefault="007A706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5051CAA3" w14:textId="77777777" w:rsidR="00E632F7" w:rsidRPr="00E632F7" w:rsidRDefault="00E632F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E632F7">
        <w:rPr>
          <w:rFonts w:ascii="Century Gothic" w:hAnsi="Century Gothic"/>
          <w:sz w:val="20"/>
          <w:szCs w:val="20"/>
        </w:rPr>
        <w:t>Colaborador en unos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 xml:space="preserve">50 volúmenes colectivos, sus artículos académicos han aparecido en revistas europeas como </w:t>
      </w:r>
      <w:r w:rsidRPr="007A7067">
        <w:rPr>
          <w:rFonts w:ascii="Century Gothic" w:hAnsi="Century Gothic"/>
          <w:i/>
          <w:iCs/>
          <w:sz w:val="20"/>
          <w:szCs w:val="20"/>
        </w:rPr>
        <w:t>Concordia</w:t>
      </w:r>
      <w:r w:rsidRPr="00E632F7">
        <w:rPr>
          <w:rFonts w:ascii="Century Gothic" w:hAnsi="Century Gothic"/>
          <w:sz w:val="20"/>
          <w:szCs w:val="20"/>
        </w:rPr>
        <w:t xml:space="preserve"> (Aquisgrán, Alemania), </w:t>
      </w:r>
      <w:proofErr w:type="spellStart"/>
      <w:r w:rsidRPr="007A7067">
        <w:rPr>
          <w:rFonts w:ascii="Century Gothic" w:hAnsi="Century Gothic"/>
          <w:i/>
          <w:iCs/>
          <w:sz w:val="20"/>
          <w:szCs w:val="20"/>
        </w:rPr>
        <w:t>Filosofia</w:t>
      </w:r>
      <w:proofErr w:type="spellEnd"/>
      <w:r w:rsidR="007A7067"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7A7067">
        <w:rPr>
          <w:rFonts w:ascii="Century Gothic" w:hAnsi="Century Gothic"/>
          <w:i/>
          <w:iCs/>
          <w:sz w:val="20"/>
          <w:szCs w:val="20"/>
        </w:rPr>
        <w:t xml:space="preserve">e </w:t>
      </w:r>
      <w:proofErr w:type="spellStart"/>
      <w:r w:rsidRPr="007A7067">
        <w:rPr>
          <w:rFonts w:ascii="Century Gothic" w:hAnsi="Century Gothic"/>
          <w:i/>
          <w:iCs/>
          <w:sz w:val="20"/>
          <w:szCs w:val="20"/>
        </w:rPr>
        <w:t>Questioni</w:t>
      </w:r>
      <w:proofErr w:type="spellEnd"/>
      <w:r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proofErr w:type="spellStart"/>
      <w:r w:rsidRPr="007A7067">
        <w:rPr>
          <w:rFonts w:ascii="Century Gothic" w:hAnsi="Century Gothic"/>
          <w:i/>
          <w:iCs/>
          <w:sz w:val="20"/>
          <w:szCs w:val="20"/>
        </w:rPr>
        <w:t>Pubbliche</w:t>
      </w:r>
      <w:proofErr w:type="spellEnd"/>
      <w:r w:rsidRPr="00E632F7">
        <w:rPr>
          <w:rFonts w:ascii="Century Gothic" w:hAnsi="Century Gothic"/>
          <w:sz w:val="20"/>
          <w:szCs w:val="20"/>
        </w:rPr>
        <w:t xml:space="preserve"> (Roma, Italia), </w:t>
      </w:r>
      <w:r w:rsidRPr="007A7067">
        <w:rPr>
          <w:rFonts w:ascii="Century Gothic" w:hAnsi="Century Gothic"/>
          <w:i/>
          <w:iCs/>
          <w:sz w:val="20"/>
          <w:szCs w:val="20"/>
        </w:rPr>
        <w:t>Edukacja Filozoficzna</w:t>
      </w:r>
      <w:r w:rsidRPr="00E632F7">
        <w:rPr>
          <w:rFonts w:ascii="Century Gothic" w:hAnsi="Century Gothic"/>
          <w:sz w:val="20"/>
          <w:szCs w:val="20"/>
        </w:rPr>
        <w:t xml:space="preserve"> (Varsovia, Polonia) y </w:t>
      </w:r>
      <w:r w:rsidRPr="007A7067">
        <w:rPr>
          <w:rFonts w:ascii="Century Gothic" w:hAnsi="Century Gothic"/>
          <w:i/>
          <w:iCs/>
          <w:sz w:val="20"/>
          <w:szCs w:val="20"/>
        </w:rPr>
        <w:t>Tabvla Rasa</w:t>
      </w:r>
      <w:r w:rsidRPr="00E632F7">
        <w:rPr>
          <w:rFonts w:ascii="Century Gothic" w:hAnsi="Century Gothic"/>
          <w:sz w:val="20"/>
          <w:szCs w:val="20"/>
        </w:rPr>
        <w:t xml:space="preserve"> (Jena, Alemania); norteamericanas como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 xml:space="preserve">el </w:t>
      </w:r>
      <w:proofErr w:type="spellStart"/>
      <w:r w:rsidRPr="007A7067">
        <w:rPr>
          <w:rFonts w:ascii="Century Gothic" w:hAnsi="Century Gothic"/>
          <w:i/>
          <w:iCs/>
          <w:sz w:val="20"/>
          <w:szCs w:val="20"/>
        </w:rPr>
        <w:t>Journal</w:t>
      </w:r>
      <w:proofErr w:type="spellEnd"/>
      <w:r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proofErr w:type="spellStart"/>
      <w:r w:rsidRPr="007A7067">
        <w:rPr>
          <w:rFonts w:ascii="Century Gothic" w:hAnsi="Century Gothic"/>
          <w:i/>
          <w:iCs/>
          <w:sz w:val="20"/>
          <w:szCs w:val="20"/>
        </w:rPr>
        <w:t>of</w:t>
      </w:r>
      <w:proofErr w:type="spellEnd"/>
      <w:r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proofErr w:type="spellStart"/>
      <w:r w:rsidRPr="007A7067">
        <w:rPr>
          <w:rFonts w:ascii="Century Gothic" w:hAnsi="Century Gothic"/>
          <w:i/>
          <w:iCs/>
          <w:sz w:val="20"/>
          <w:szCs w:val="20"/>
        </w:rPr>
        <w:t>Interdisciplinary</w:t>
      </w:r>
      <w:proofErr w:type="spellEnd"/>
      <w:r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proofErr w:type="spellStart"/>
      <w:r w:rsidRPr="007A7067">
        <w:rPr>
          <w:rFonts w:ascii="Century Gothic" w:hAnsi="Century Gothic"/>
          <w:i/>
          <w:iCs/>
          <w:sz w:val="20"/>
          <w:szCs w:val="20"/>
        </w:rPr>
        <w:t>Studies</w:t>
      </w:r>
      <w:proofErr w:type="spellEnd"/>
      <w:r w:rsidRPr="00E632F7">
        <w:rPr>
          <w:rFonts w:ascii="Century Gothic" w:hAnsi="Century Gothic"/>
          <w:sz w:val="20"/>
          <w:szCs w:val="20"/>
        </w:rPr>
        <w:t xml:space="preserve"> (Pasadena, California); iberoamericanas como Solar (Perú), Hiperbórea (México) o Utopía </w:t>
      </w:r>
      <w:r w:rsidRPr="007A7067">
        <w:rPr>
          <w:rFonts w:ascii="Century Gothic" w:hAnsi="Century Gothic"/>
          <w:i/>
          <w:iCs/>
          <w:sz w:val="20"/>
          <w:szCs w:val="20"/>
        </w:rPr>
        <w:t>y praxis</w:t>
      </w:r>
      <w:r w:rsidR="007A7067"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7A7067">
        <w:rPr>
          <w:rFonts w:ascii="Century Gothic" w:hAnsi="Century Gothic"/>
          <w:i/>
          <w:iCs/>
          <w:sz w:val="20"/>
          <w:szCs w:val="20"/>
        </w:rPr>
        <w:t xml:space="preserve">latinoamericana </w:t>
      </w:r>
      <w:r w:rsidRPr="00E632F7">
        <w:rPr>
          <w:rFonts w:ascii="Century Gothic" w:hAnsi="Century Gothic"/>
          <w:sz w:val="20"/>
          <w:szCs w:val="20"/>
        </w:rPr>
        <w:t xml:space="preserve">(Venezuela); y españolas como </w:t>
      </w:r>
      <w:r w:rsidRPr="007A7067">
        <w:rPr>
          <w:rFonts w:ascii="Century Gothic" w:hAnsi="Century Gothic"/>
          <w:i/>
          <w:iCs/>
          <w:sz w:val="20"/>
          <w:szCs w:val="20"/>
        </w:rPr>
        <w:t>Revista de Occidente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Isegoría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Daímon</w:t>
      </w:r>
      <w:r w:rsidRPr="00E632F7">
        <w:rPr>
          <w:rFonts w:ascii="Century Gothic" w:hAnsi="Century Gothic"/>
          <w:sz w:val="20"/>
          <w:szCs w:val="20"/>
        </w:rPr>
        <w:t>, Anales de la Cátedra Francisco Suárez,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 xml:space="preserve">Volubilis, Leviatán, Procesos de mercado, Cuadernos del periodista, </w:t>
      </w:r>
      <w:r w:rsidRPr="007A7067">
        <w:rPr>
          <w:rFonts w:ascii="Century Gothic" w:hAnsi="Century Gothic"/>
          <w:i/>
          <w:iCs/>
          <w:sz w:val="20"/>
          <w:szCs w:val="20"/>
        </w:rPr>
        <w:t>Thémata, Teorema, Cuadernos de pensamiento político,</w:t>
      </w:r>
      <w:r w:rsidR="007A7067"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7A7067">
        <w:rPr>
          <w:rFonts w:ascii="Century Gothic" w:hAnsi="Century Gothic"/>
          <w:i/>
          <w:iCs/>
          <w:sz w:val="20"/>
          <w:szCs w:val="20"/>
        </w:rPr>
        <w:t>Comunicación y pluralismo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Cuadernos salmantinos de filosofía</w:t>
      </w:r>
      <w:r w:rsidRPr="00E632F7">
        <w:rPr>
          <w:rFonts w:ascii="Century Gothic" w:hAnsi="Century Gothic"/>
          <w:sz w:val="20"/>
          <w:szCs w:val="20"/>
        </w:rPr>
        <w:t xml:space="preserve">, Pensamiento, </w:t>
      </w:r>
      <w:r w:rsidRPr="007A7067">
        <w:rPr>
          <w:rFonts w:ascii="Century Gothic" w:hAnsi="Century Gothic"/>
          <w:i/>
          <w:iCs/>
          <w:sz w:val="20"/>
          <w:szCs w:val="20"/>
        </w:rPr>
        <w:t>Laguna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Estudios filosóficos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Cuaderno gris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Azafea</w:t>
      </w:r>
      <w:r w:rsidRPr="00E632F7">
        <w:rPr>
          <w:rFonts w:ascii="Century Gothic" w:hAnsi="Century Gothic"/>
          <w:sz w:val="20"/>
          <w:szCs w:val="20"/>
        </w:rPr>
        <w:t>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7A7067">
        <w:rPr>
          <w:rFonts w:ascii="Century Gothic" w:hAnsi="Century Gothic"/>
          <w:i/>
          <w:iCs/>
          <w:sz w:val="20"/>
          <w:szCs w:val="20"/>
        </w:rPr>
        <w:t>Diálogo filosófico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Dilema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 xml:space="preserve">La Torre </w:t>
      </w:r>
      <w:r w:rsidRPr="007A7067">
        <w:rPr>
          <w:rFonts w:ascii="Century Gothic" w:hAnsi="Century Gothic"/>
          <w:i/>
          <w:iCs/>
          <w:sz w:val="20"/>
          <w:szCs w:val="20"/>
        </w:rPr>
        <w:lastRenderedPageBreak/>
        <w:t>del Virrey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Ágora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La Ilustración liberal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mEDium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Manuales Formativos ACTA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Naturaleza y Gracia</w:t>
      </w:r>
      <w:r w:rsidRPr="00E632F7">
        <w:rPr>
          <w:rFonts w:ascii="Century Gothic" w:hAnsi="Century Gothic"/>
          <w:sz w:val="20"/>
          <w:szCs w:val="20"/>
        </w:rPr>
        <w:t>.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También escribe en prensa (</w:t>
      </w:r>
      <w:r w:rsidRPr="007A7067">
        <w:rPr>
          <w:rFonts w:ascii="Century Gothic" w:hAnsi="Century Gothic"/>
          <w:i/>
          <w:iCs/>
          <w:sz w:val="20"/>
          <w:szCs w:val="20"/>
        </w:rPr>
        <w:t>The Objective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ABC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El País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El Mundo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El Español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Alfa y</w:t>
      </w:r>
      <w:r w:rsidR="007A7067"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7A7067">
        <w:rPr>
          <w:rFonts w:ascii="Century Gothic" w:hAnsi="Century Gothic"/>
          <w:i/>
          <w:iCs/>
          <w:sz w:val="20"/>
          <w:szCs w:val="20"/>
        </w:rPr>
        <w:t>Omega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El Correo de Bilbao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El Norte de Castilla</w:t>
      </w:r>
      <w:r w:rsidRPr="00E632F7">
        <w:rPr>
          <w:rFonts w:ascii="Century Gothic" w:hAnsi="Century Gothic"/>
          <w:sz w:val="20"/>
          <w:szCs w:val="20"/>
        </w:rPr>
        <w:t>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7A7067">
        <w:rPr>
          <w:rFonts w:ascii="Century Gothic" w:hAnsi="Century Gothic"/>
          <w:i/>
          <w:iCs/>
          <w:sz w:val="20"/>
          <w:szCs w:val="20"/>
        </w:rPr>
        <w:t>Tribuna de Salamanca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La Gaceta Regional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Berria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Libertad Digital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Vozpópuli</w:t>
      </w:r>
      <w:r w:rsidRPr="00E632F7">
        <w:rPr>
          <w:rFonts w:ascii="Century Gothic" w:hAnsi="Century Gothic"/>
          <w:sz w:val="20"/>
          <w:szCs w:val="20"/>
        </w:rPr>
        <w:t xml:space="preserve">, </w:t>
      </w:r>
      <w:r w:rsidRPr="007A7067">
        <w:rPr>
          <w:rFonts w:ascii="Century Gothic" w:hAnsi="Century Gothic"/>
          <w:i/>
          <w:iCs/>
          <w:sz w:val="20"/>
          <w:szCs w:val="20"/>
        </w:rPr>
        <w:t>Zapping</w:t>
      </w:r>
      <w:r w:rsidR="007A7067" w:rsidRPr="007A7067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7A7067">
        <w:rPr>
          <w:rFonts w:ascii="Century Gothic" w:hAnsi="Century Gothic"/>
          <w:i/>
          <w:iCs/>
          <w:sz w:val="20"/>
          <w:szCs w:val="20"/>
        </w:rPr>
        <w:t>Magazine</w:t>
      </w:r>
      <w:r w:rsidRPr="00E632F7">
        <w:rPr>
          <w:rFonts w:ascii="Century Gothic" w:hAnsi="Century Gothic"/>
          <w:sz w:val="20"/>
          <w:szCs w:val="20"/>
        </w:rPr>
        <w:t xml:space="preserve"> y </w:t>
      </w:r>
      <w:r w:rsidRPr="007A7067">
        <w:rPr>
          <w:rFonts w:ascii="Century Gothic" w:hAnsi="Century Gothic"/>
          <w:i/>
          <w:iCs/>
          <w:sz w:val="20"/>
          <w:szCs w:val="20"/>
        </w:rPr>
        <w:t>Expreso de Lima</w:t>
      </w:r>
      <w:r w:rsidRPr="00E632F7">
        <w:rPr>
          <w:rFonts w:ascii="Century Gothic" w:hAnsi="Century Gothic"/>
          <w:sz w:val="20"/>
          <w:szCs w:val="20"/>
        </w:rPr>
        <w:t>) y ha sido guionista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para La 2 de TVE. Como analista participa desde 2010 en el canal televisivo CyLTV y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desde 2021 en Trece TV, El Toro TV y 7NN.</w:t>
      </w:r>
    </w:p>
    <w:p w14:paraId="6CD7A0F6" w14:textId="77777777" w:rsidR="007A7067" w:rsidRDefault="007A706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2746DDBA" w14:textId="77777777" w:rsidR="00E632F7" w:rsidRPr="00E632F7" w:rsidRDefault="00E632F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E632F7">
        <w:rPr>
          <w:rFonts w:ascii="Century Gothic" w:hAnsi="Century Gothic"/>
          <w:sz w:val="20"/>
          <w:szCs w:val="20"/>
        </w:rPr>
        <w:t>Fue investigador principal del proyecto “Nuevos paradigmas de la interactividad”, financiado por la Junta de Castilla y León; y director de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tres ediciones del proyecto de innovación educativa de la UEMC “Aprendizaje que atraviesa las generaciones: una experiencia de inclusión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intergeneracional mediante el uso de la comunicación audiovisual para el debate ético en el aula”. Ha contribuido en unos 120 congresos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académicos y dictado una cincuentena de conferencias en universidades (Viena,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 xml:space="preserve">UNAM de México, </w:t>
      </w:r>
      <w:proofErr w:type="spellStart"/>
      <w:r w:rsidRPr="00E632F7">
        <w:rPr>
          <w:rFonts w:ascii="Century Gothic" w:hAnsi="Century Gothic"/>
          <w:sz w:val="20"/>
          <w:szCs w:val="20"/>
        </w:rPr>
        <w:t>Coimbra</w:t>
      </w:r>
      <w:proofErr w:type="spellEnd"/>
      <w:r w:rsidRPr="00E632F7">
        <w:rPr>
          <w:rFonts w:ascii="Century Gothic" w:hAnsi="Century Gothic"/>
          <w:sz w:val="20"/>
          <w:szCs w:val="20"/>
        </w:rPr>
        <w:t>, Jartum, Copenhague, La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Sapienza de Roma, Tor Vergata de Roma, Perugia, Teramo, Aberystwyth, Toulouse, Belgrado, Lublin, Nacional de San Marcos de Lima,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Nacional Federico Villarreal de Lima, Católica de Santiago del Estero, Azores, Barcelona, Oviedo, UNED, Complutense de Madrid,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Europea de Madrid, Internacional Menéndez Pelayo, Córdoba, Sevilla, San Dámaso, Francisco de Vitoria, Carlos III, CEU San Pablo, Real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Colegio Universitario María Cristina, Gerona, Salamanca, Valladolid) y otros centros socioculturales o políticos (Real Colegio Español de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Bolonia, Casa de América, Círculo de Bellas Artes de Madrid, Ateneo de Madrid, Ateneu barcelonés, Congreso de los Diputados,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 xml:space="preserve">Parlamento Europeo, Escuela de Organización Industrial de Sevilla, Centro Cultural de España en Lima, </w:t>
      </w:r>
      <w:proofErr w:type="spellStart"/>
      <w:r w:rsidRPr="00E632F7">
        <w:rPr>
          <w:rFonts w:ascii="Century Gothic" w:hAnsi="Century Gothic"/>
          <w:sz w:val="20"/>
          <w:szCs w:val="20"/>
        </w:rPr>
        <w:t>Collegio</w:t>
      </w:r>
      <w:proofErr w:type="spellEnd"/>
      <w:r w:rsidRPr="00E632F7">
        <w:rPr>
          <w:rFonts w:ascii="Century Gothic" w:hAnsi="Century Gothic"/>
          <w:sz w:val="20"/>
          <w:szCs w:val="20"/>
        </w:rPr>
        <w:t xml:space="preserve"> Universitario Renato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Einaudi di Torino, Anacortes High School, Value School, Sociedad Peruana de Filosofía, Ecuador Libre, Centro Libre Arte y Cultura,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Instituto Juan de Mariana, Fundación Herrera Oria, Fundación Conversación, Centro Pignatelli, Frontera Sur, Encuentro Madrid, Fundación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Villacisneros, Fundación Tatiana, Partido Popular, OIDEL, Centro Cultural La Malagueta, Archidiócesis de Toledo, La Portilla, Fundación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Civismo, Neos, Asociación de Autores Científico-Técnicos, Museo Esteban Vicente,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Centro Territorial de Innovación y Formación Madrid-Capital, Escuela Oficial de Idiomas de Salamanca, Ateneo de Valladolid, Club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Tocqueville, Seminario Diocesano de Valladolid, Escuela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 xml:space="preserve">de Filosofía de Madrid, Cremades y Calvo Sotelo, </w:t>
      </w:r>
      <w:proofErr w:type="spellStart"/>
      <w:r w:rsidRPr="00E632F7">
        <w:rPr>
          <w:rFonts w:ascii="Century Gothic" w:hAnsi="Century Gothic"/>
          <w:sz w:val="20"/>
          <w:szCs w:val="20"/>
        </w:rPr>
        <w:t>S’ha</w:t>
      </w:r>
      <w:proofErr w:type="spellEnd"/>
      <w:r w:rsidRPr="00E632F7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632F7">
        <w:rPr>
          <w:rFonts w:ascii="Century Gothic" w:hAnsi="Century Gothic"/>
          <w:sz w:val="20"/>
          <w:szCs w:val="20"/>
        </w:rPr>
        <w:t>acabat</w:t>
      </w:r>
      <w:proofErr w:type="spellEnd"/>
      <w:r w:rsidRPr="00E632F7">
        <w:rPr>
          <w:rFonts w:ascii="Century Gothic" w:hAnsi="Century Gothic"/>
          <w:sz w:val="20"/>
          <w:szCs w:val="20"/>
        </w:rPr>
        <w:t>, Colegio Oficial de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Veterinarios de Cáceres, Club de los 350, Apriuex,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 xml:space="preserve">Fundación para el Progreso Chile, Casa de la Iglesia, Campus ECR, </w:t>
      </w:r>
      <w:proofErr w:type="spellStart"/>
      <w:r w:rsidRPr="00E632F7">
        <w:rPr>
          <w:rFonts w:ascii="Century Gothic" w:hAnsi="Century Gothic"/>
          <w:sz w:val="20"/>
          <w:szCs w:val="20"/>
        </w:rPr>
        <w:t>The</w:t>
      </w:r>
      <w:proofErr w:type="spellEnd"/>
      <w:r w:rsidRPr="00E632F7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632F7">
        <w:rPr>
          <w:rFonts w:ascii="Century Gothic" w:hAnsi="Century Gothic"/>
          <w:sz w:val="20"/>
          <w:szCs w:val="20"/>
        </w:rPr>
        <w:t>Heroes</w:t>
      </w:r>
      <w:proofErr w:type="spellEnd"/>
      <w:r w:rsidRPr="00E632F7">
        <w:rPr>
          <w:rFonts w:ascii="Century Gothic" w:hAnsi="Century Gothic"/>
          <w:sz w:val="20"/>
          <w:szCs w:val="20"/>
        </w:rPr>
        <w:t xml:space="preserve"> Club,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Centro de Negocios CINC de Barcelona, Tizona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Comunicación, Librería Meta, De Pablo Consultores). Asimismo, es traductor del inglés (J. McDowell, L. Wittgenstein), alemán (I. Kant, H.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632F7">
        <w:rPr>
          <w:rFonts w:ascii="Century Gothic" w:hAnsi="Century Gothic"/>
          <w:sz w:val="20"/>
          <w:szCs w:val="20"/>
        </w:rPr>
        <w:t>Hu</w:t>
      </w:r>
      <w:r w:rsidRPr="00E632F7">
        <w:rPr>
          <w:rFonts w:ascii="Arial" w:hAnsi="Arial" w:cs="Arial"/>
          <w:sz w:val="20"/>
          <w:szCs w:val="20"/>
        </w:rPr>
        <w:t>̈</w:t>
      </w:r>
      <w:r w:rsidRPr="00E632F7">
        <w:rPr>
          <w:rFonts w:ascii="Century Gothic" w:hAnsi="Century Gothic"/>
          <w:sz w:val="20"/>
          <w:szCs w:val="20"/>
        </w:rPr>
        <w:t>ni</w:t>
      </w:r>
      <w:proofErr w:type="spellEnd"/>
      <w:r w:rsidRPr="00E632F7">
        <w:rPr>
          <w:rFonts w:ascii="Century Gothic" w:hAnsi="Century Gothic"/>
          <w:sz w:val="20"/>
          <w:szCs w:val="20"/>
        </w:rPr>
        <w:t>) e italiano (U. Margiotta, G. Vattimo, M. Perniola). Pertenece al consejo asesor de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la revista polaca Edukacja Filozoficzna y de las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revistas latinoamericanas Solar y Artificium. Colabora regularmente con textos para la</w:t>
      </w:r>
      <w:r w:rsidR="007A7067">
        <w:rPr>
          <w:rFonts w:ascii="Century Gothic" w:hAnsi="Century Gothic"/>
          <w:sz w:val="20"/>
          <w:szCs w:val="20"/>
        </w:rPr>
        <w:t xml:space="preserve"> </w:t>
      </w:r>
      <w:r w:rsidRPr="00E632F7">
        <w:rPr>
          <w:rFonts w:ascii="Century Gothic" w:hAnsi="Century Gothic"/>
          <w:sz w:val="20"/>
          <w:szCs w:val="20"/>
        </w:rPr>
        <w:t>Fundación Disenso.</w:t>
      </w:r>
    </w:p>
    <w:p w14:paraId="64B4F2AC" w14:textId="77777777" w:rsidR="007A7067" w:rsidRDefault="007A7067" w:rsidP="007A706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0CCEA2FA" w14:textId="77777777" w:rsidR="00E632F7" w:rsidRPr="00E632F7" w:rsidRDefault="007A7067" w:rsidP="007A706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A7067">
        <w:rPr>
          <w:rFonts w:ascii="Century Gothic" w:hAnsi="Century Gothic"/>
          <w:sz w:val="20"/>
          <w:szCs w:val="20"/>
        </w:rPr>
        <w:t>Ha recibido algunos premios literarios (Letras Jóvenes 1993 de la Junta de Castilla y León; I Concurso de Haikus de RENFE, 2006).</w:t>
      </w:r>
      <w:r>
        <w:rPr>
          <w:rFonts w:ascii="Century Gothic" w:hAnsi="Century Gothic"/>
          <w:sz w:val="20"/>
          <w:szCs w:val="20"/>
        </w:rPr>
        <w:t xml:space="preserve"> </w:t>
      </w:r>
      <w:r w:rsidRPr="007A7067">
        <w:rPr>
          <w:rFonts w:ascii="Century Gothic" w:hAnsi="Century Gothic"/>
          <w:sz w:val="20"/>
          <w:szCs w:val="20"/>
        </w:rPr>
        <w:t>Dirigió el Departamento de Humanidades de la Universidad Europea Miguel de</w:t>
      </w:r>
      <w:r>
        <w:rPr>
          <w:rFonts w:ascii="Century Gothic" w:hAnsi="Century Gothic"/>
          <w:sz w:val="20"/>
          <w:szCs w:val="20"/>
        </w:rPr>
        <w:t xml:space="preserve"> </w:t>
      </w:r>
      <w:r w:rsidRPr="007A7067">
        <w:rPr>
          <w:rFonts w:ascii="Century Gothic" w:hAnsi="Century Gothic"/>
          <w:sz w:val="20"/>
          <w:szCs w:val="20"/>
        </w:rPr>
        <w:t>Cervantes entre 2017 y 2021; su Club de Debate</w:t>
      </w:r>
      <w:r>
        <w:rPr>
          <w:rFonts w:ascii="Century Gothic" w:hAnsi="Century Gothic"/>
          <w:sz w:val="20"/>
          <w:szCs w:val="20"/>
        </w:rPr>
        <w:t xml:space="preserve"> </w:t>
      </w:r>
      <w:r w:rsidRPr="007A7067">
        <w:rPr>
          <w:rFonts w:ascii="Century Gothic" w:hAnsi="Century Gothic"/>
          <w:sz w:val="20"/>
          <w:szCs w:val="20"/>
        </w:rPr>
        <w:t>Universitario entre 2014 y 2018; y su Servicio de Publicaciones entre 2007 y 2011. Organizó</w:t>
      </w:r>
      <w:r>
        <w:rPr>
          <w:rFonts w:ascii="Century Gothic" w:hAnsi="Century Gothic"/>
          <w:sz w:val="20"/>
          <w:szCs w:val="20"/>
        </w:rPr>
        <w:t xml:space="preserve"> </w:t>
      </w:r>
      <w:r w:rsidRPr="007A7067">
        <w:rPr>
          <w:rFonts w:ascii="Century Gothic" w:hAnsi="Century Gothic"/>
          <w:sz w:val="20"/>
          <w:szCs w:val="20"/>
        </w:rPr>
        <w:t>cuatro ediciones del curso de verano Los</w:t>
      </w:r>
      <w:r>
        <w:rPr>
          <w:rFonts w:ascii="Century Gothic" w:hAnsi="Century Gothic"/>
          <w:sz w:val="20"/>
          <w:szCs w:val="20"/>
        </w:rPr>
        <w:t xml:space="preserve"> </w:t>
      </w:r>
      <w:r w:rsidRPr="007A7067">
        <w:rPr>
          <w:rFonts w:ascii="Century Gothic" w:hAnsi="Century Gothic"/>
          <w:sz w:val="20"/>
          <w:szCs w:val="20"/>
        </w:rPr>
        <w:t>valores de la Transición española, hoy (2016-2019). En 2011-13 fue responsable editorial</w:t>
      </w:r>
      <w:r>
        <w:rPr>
          <w:rFonts w:ascii="Century Gothic" w:hAnsi="Century Gothic"/>
          <w:sz w:val="20"/>
          <w:szCs w:val="20"/>
        </w:rPr>
        <w:t xml:space="preserve"> </w:t>
      </w:r>
      <w:r w:rsidRPr="007A7067">
        <w:rPr>
          <w:rFonts w:ascii="Century Gothic" w:hAnsi="Century Gothic"/>
          <w:sz w:val="20"/>
          <w:szCs w:val="20"/>
        </w:rPr>
        <w:t>de la Fundación Progreso y Democracia; y en</w:t>
      </w:r>
      <w:r>
        <w:rPr>
          <w:rFonts w:ascii="Century Gothic" w:hAnsi="Century Gothic"/>
          <w:sz w:val="20"/>
          <w:szCs w:val="20"/>
        </w:rPr>
        <w:t xml:space="preserve"> </w:t>
      </w:r>
      <w:r w:rsidRPr="007A7067">
        <w:rPr>
          <w:rFonts w:ascii="Century Gothic" w:hAnsi="Century Gothic"/>
          <w:sz w:val="20"/>
          <w:szCs w:val="20"/>
        </w:rPr>
        <w:lastRenderedPageBreak/>
        <w:t>2013-14 vocal de la Junta Directiva de la Asociación Española de Ética y Filosofía Política.</w:t>
      </w:r>
      <w:r>
        <w:rPr>
          <w:rFonts w:ascii="Century Gothic" w:hAnsi="Century Gothic"/>
          <w:sz w:val="20"/>
          <w:szCs w:val="20"/>
        </w:rPr>
        <w:t xml:space="preserve"> </w:t>
      </w:r>
      <w:r w:rsidRPr="007A7067">
        <w:rPr>
          <w:rFonts w:ascii="Century Gothic" w:hAnsi="Century Gothic"/>
          <w:sz w:val="20"/>
          <w:szCs w:val="20"/>
        </w:rPr>
        <w:t xml:space="preserve">Su página web es </w:t>
      </w:r>
      <w:hyperlink r:id="rId9" w:history="1">
        <w:r w:rsidRPr="00BE0915">
          <w:rPr>
            <w:rStyle w:val="Enlla"/>
            <w:rFonts w:ascii="Century Gothic" w:hAnsi="Century Gothic"/>
            <w:sz w:val="20"/>
            <w:szCs w:val="20"/>
          </w:rPr>
          <w:t>www.quintanapaz.es</w:t>
        </w:r>
      </w:hyperlink>
      <w:r>
        <w:rPr>
          <w:rFonts w:ascii="Century Gothic" w:hAnsi="Century Gothic"/>
          <w:sz w:val="20"/>
          <w:szCs w:val="20"/>
        </w:rPr>
        <w:t xml:space="preserve"> </w:t>
      </w:r>
    </w:p>
    <w:p w14:paraId="6E4F1946" w14:textId="77777777" w:rsidR="00E632F7" w:rsidRPr="00E632F7" w:rsidRDefault="00E632F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6B898511" w14:textId="77777777" w:rsidR="00E632F7" w:rsidRPr="00E632F7" w:rsidRDefault="00E632F7" w:rsidP="00E632F7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15C2D9EF" w14:textId="77777777" w:rsidR="00804321" w:rsidRDefault="00804321"/>
    <w:p w14:paraId="6F2F69EE" w14:textId="77777777" w:rsidR="00804321" w:rsidRDefault="00804321"/>
    <w:p w14:paraId="08FFD3F0" w14:textId="77777777" w:rsidR="00976CDB" w:rsidRDefault="00976CDB"/>
    <w:p w14:paraId="5972570F" w14:textId="77777777" w:rsidR="00976CDB" w:rsidRDefault="00385D07">
      <w:pPr>
        <w:rPr>
          <w:rFonts w:ascii="Avenir Next Medium" w:hAnsi="Avenir Next Medium" w:cs="Didot"/>
          <w:color w:val="AA3035"/>
        </w:rPr>
      </w:pPr>
      <w:r>
        <w:rPr>
          <w:rFonts w:ascii="Avenir Next Medium" w:hAnsi="Avenir Next Medium" w:cs="Didot"/>
          <w:color w:val="AA3035"/>
        </w:rPr>
        <w:t xml:space="preserve">Cartel provisional del Simposio en el Museo Picasso de Barcelona: </w:t>
      </w:r>
    </w:p>
    <w:p w14:paraId="1282AF1F" w14:textId="77777777" w:rsidR="00385D07" w:rsidRDefault="00385D07"/>
    <w:p w14:paraId="3A84F57B" w14:textId="77777777" w:rsidR="00976CDB" w:rsidRDefault="00976CDB" w:rsidP="00385D07">
      <w:pPr>
        <w:jc w:val="center"/>
      </w:pPr>
      <w:r w:rsidRPr="009835FE">
        <w:rPr>
          <w:noProof/>
        </w:rPr>
        <w:drawing>
          <wp:inline distT="0" distB="0" distL="0" distR="0" wp14:anchorId="577108C0" wp14:editId="2669A51D">
            <wp:extent cx="4658782" cy="6629483"/>
            <wp:effectExtent l="0" t="0" r="2540" b="0"/>
            <wp:docPr id="7" name="Imagen 7" descr="Imagen que contiene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Map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814" cy="66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3286" w14:textId="77777777" w:rsidR="00976CDB" w:rsidRDefault="00976CDB"/>
    <w:p w14:paraId="51A851CD" w14:textId="77777777" w:rsidR="00385D07" w:rsidRDefault="00385D07" w:rsidP="00976CDB">
      <w:pPr>
        <w:rPr>
          <w:rFonts w:ascii="Avenir Next" w:hAnsi="Avenir Next"/>
          <w:sz w:val="10"/>
          <w:szCs w:val="10"/>
        </w:rPr>
      </w:pPr>
    </w:p>
    <w:p w14:paraId="41571185" w14:textId="77777777" w:rsidR="00385D07" w:rsidRDefault="00385D07" w:rsidP="00976CDB">
      <w:pPr>
        <w:rPr>
          <w:rFonts w:ascii="Avenir Next" w:hAnsi="Avenir Next"/>
          <w:sz w:val="10"/>
          <w:szCs w:val="10"/>
        </w:rPr>
      </w:pPr>
    </w:p>
    <w:p w14:paraId="4447F24F" w14:textId="77777777" w:rsidR="00385D07" w:rsidRDefault="00385D07" w:rsidP="00976CDB">
      <w:pPr>
        <w:rPr>
          <w:rFonts w:ascii="Avenir Next" w:hAnsi="Avenir Next"/>
          <w:sz w:val="10"/>
          <w:szCs w:val="10"/>
        </w:rPr>
      </w:pPr>
    </w:p>
    <w:p w14:paraId="1727961F" w14:textId="77777777" w:rsidR="00385D07" w:rsidRDefault="00385D07" w:rsidP="00385D07">
      <w:pPr>
        <w:rPr>
          <w:rFonts w:ascii="Avenir Next Medium" w:hAnsi="Avenir Next Medium" w:cs="Didot"/>
          <w:color w:val="AA3035"/>
        </w:rPr>
      </w:pPr>
      <w:r>
        <w:rPr>
          <w:rFonts w:ascii="Avenir Next Medium" w:hAnsi="Avenir Next Medium" w:cs="Didot"/>
          <w:color w:val="AA3035"/>
        </w:rPr>
        <w:t xml:space="preserve">Instituciones organizadoras del Simposio: </w:t>
      </w:r>
    </w:p>
    <w:p w14:paraId="64B6D96F" w14:textId="77777777" w:rsidR="00385D07" w:rsidRDefault="00385D07" w:rsidP="00976CDB">
      <w:pPr>
        <w:rPr>
          <w:rFonts w:ascii="Avenir Next" w:hAnsi="Avenir Next"/>
          <w:sz w:val="10"/>
          <w:szCs w:val="10"/>
        </w:rPr>
      </w:pPr>
    </w:p>
    <w:p w14:paraId="55C05DAD" w14:textId="77777777" w:rsidR="00385D07" w:rsidRPr="00145C61" w:rsidRDefault="00385D07" w:rsidP="00976CDB">
      <w:pPr>
        <w:rPr>
          <w:rFonts w:ascii="Avenir Next" w:hAnsi="Avenir Next"/>
          <w:sz w:val="10"/>
          <w:szCs w:val="10"/>
        </w:rPr>
      </w:pPr>
    </w:p>
    <w:p w14:paraId="4FD69455" w14:textId="77777777" w:rsidR="00976CDB" w:rsidRDefault="00976CDB" w:rsidP="00976CDB">
      <w:r>
        <w:fldChar w:fldCharType="begin"/>
      </w:r>
      <w:r>
        <w:instrText xml:space="preserve"> INCLUDEPICTURE "https://upload.wikimedia.org/wikipedia/commons/e/e6/Logo_Universitat_de_Barcelona.png"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DF00A93" wp14:editId="3CD2765B">
            <wp:extent cx="2230244" cy="670856"/>
            <wp:effectExtent l="0" t="0" r="0" b="0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26" cy="6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</w:t>
      </w:r>
    </w:p>
    <w:p w14:paraId="76055C97" w14:textId="77777777" w:rsidR="00976CDB" w:rsidRPr="00BA13D4" w:rsidRDefault="00976CDB" w:rsidP="00976CDB">
      <w:pPr>
        <w:rPr>
          <w:sz w:val="10"/>
          <w:szCs w:val="10"/>
        </w:rPr>
      </w:pPr>
      <w:r>
        <w:t xml:space="preserve">         </w:t>
      </w:r>
    </w:p>
    <w:p w14:paraId="46BDF348" w14:textId="77777777" w:rsidR="00976CDB" w:rsidRDefault="00976CDB" w:rsidP="00976CDB">
      <w:r>
        <w:t xml:space="preserve">   </w:t>
      </w:r>
      <w:r w:rsidR="00385D07">
        <w:fldChar w:fldCharType="begin"/>
      </w:r>
      <w:r w:rsidR="00385D07">
        <w:instrText xml:space="preserve"> INCLUDEPICTURE "https://agora.xtec.cat/ceipelspins/wp-content/uploads/usu319/2021/04/1200px-Logotip_Museu_Picasso.svg_.png" \* MERGEFORMATINET </w:instrText>
      </w:r>
      <w:r w:rsidR="00385D07">
        <w:fldChar w:fldCharType="separate"/>
      </w:r>
      <w:r w:rsidR="00385D07">
        <w:rPr>
          <w:noProof/>
        </w:rPr>
        <w:drawing>
          <wp:inline distT="0" distB="0" distL="0" distR="0" wp14:anchorId="71134970" wp14:editId="0BF5395D">
            <wp:extent cx="1059366" cy="1059366"/>
            <wp:effectExtent l="0" t="0" r="0" b="0"/>
            <wp:docPr id="9" name="Imagen 9" descr="P5. MUSEU PICASSO | Escola Els P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5. MUSEU PICASSO | Escola Els Pins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945" cy="11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D07">
        <w:fldChar w:fldCharType="end"/>
      </w:r>
    </w:p>
    <w:p w14:paraId="002AF6B0" w14:textId="77777777" w:rsidR="00385D07" w:rsidRDefault="00976CDB" w:rsidP="00976CDB">
      <w:r>
        <w:t xml:space="preserve">             </w:t>
      </w:r>
    </w:p>
    <w:p w14:paraId="0B467623" w14:textId="77777777" w:rsidR="00385D07" w:rsidRDefault="00385D07" w:rsidP="00385D07">
      <w:pPr>
        <w:rPr>
          <w:rFonts w:ascii="Avenir Next Medium" w:hAnsi="Avenir Next Medium" w:cs="Didot"/>
          <w:color w:val="AA3035"/>
        </w:rPr>
      </w:pPr>
      <w:r>
        <w:rPr>
          <w:rFonts w:ascii="Avenir Next Medium" w:hAnsi="Avenir Next Medium" w:cs="Didot"/>
          <w:color w:val="AA3035"/>
        </w:rPr>
        <w:t xml:space="preserve">Centros e instituciones colaboradoras: </w:t>
      </w:r>
    </w:p>
    <w:p w14:paraId="292ED909" w14:textId="77777777" w:rsidR="00976CDB" w:rsidRPr="00145C61" w:rsidRDefault="00976CDB" w:rsidP="00976CDB">
      <w:pPr>
        <w:rPr>
          <w:rFonts w:ascii="Avenir Next Medium" w:hAnsi="Avenir Next Medium"/>
          <w:sz w:val="20"/>
          <w:szCs w:val="20"/>
        </w:rPr>
      </w:pPr>
    </w:p>
    <w:p w14:paraId="0548F898" w14:textId="77777777" w:rsidR="00976CDB" w:rsidRPr="00BA13D4" w:rsidRDefault="00976CDB" w:rsidP="00976CDB">
      <w:pPr>
        <w:rPr>
          <w:rFonts w:ascii="Avenir Next" w:hAnsi="Avenir Next"/>
          <w:sz w:val="10"/>
          <w:szCs w:val="10"/>
        </w:rPr>
      </w:pPr>
    </w:p>
    <w:p w14:paraId="5B758AA3" w14:textId="77777777" w:rsidR="00976CDB" w:rsidRDefault="00976CDB" w:rsidP="00976CDB">
      <w:r>
        <w:rPr>
          <w:noProof/>
        </w:rPr>
        <w:drawing>
          <wp:inline distT="0" distB="0" distL="0" distR="0" wp14:anchorId="59A65902" wp14:editId="5DB192B8">
            <wp:extent cx="1526583" cy="537486"/>
            <wp:effectExtent l="0" t="0" r="0" b="0"/>
            <wp:docPr id="16" name="Imagen 1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86" cy="5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Next" w:hAnsi="Avenir Next"/>
        </w:rPr>
        <w:t xml:space="preserve">  </w:t>
      </w:r>
      <w:r w:rsidR="00385D07">
        <w:rPr>
          <w:rFonts w:ascii="Avenir Next" w:hAnsi="Avenir Next"/>
        </w:rPr>
        <w:t xml:space="preserve">   </w:t>
      </w:r>
      <w:r>
        <w:rPr>
          <w:rFonts w:ascii="Avenir Next" w:hAnsi="Avenir Next"/>
        </w:rPr>
        <w:t xml:space="preserve">     </w:t>
      </w:r>
      <w:r>
        <w:fldChar w:fldCharType="begin"/>
      </w:r>
      <w:r>
        <w:instrText xml:space="preserve"> INCLUDEPICTURE "https://simfonic.org/wp-content/uploads/2019/02/academia-internacional-de-musica-300x197.png"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0567364" wp14:editId="0F956EF1">
            <wp:extent cx="824381" cy="541756"/>
            <wp:effectExtent l="0" t="0" r="1270" b="4445"/>
            <wp:docPr id="35" name="Imagen 35" descr="Centre Cívic Sarrià- 2013 – FESTIVAL SIMFONIC | 100 concerts simultanis i  gratuï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entre Cívic Sarrià- 2013 – FESTIVAL SIMFONIC | 100 concerts simultanis i  gratuït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12" cy="5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54863D" w14:textId="77777777" w:rsidR="00385D07" w:rsidRDefault="00385D07" w:rsidP="00976CDB"/>
    <w:p w14:paraId="10AEAD6D" w14:textId="77777777" w:rsidR="00976CDB" w:rsidRPr="00BA13D4" w:rsidRDefault="00976CDB" w:rsidP="00976CDB">
      <w:pPr>
        <w:rPr>
          <w:sz w:val="10"/>
          <w:szCs w:val="10"/>
        </w:rPr>
      </w:pPr>
    </w:p>
    <w:p w14:paraId="183FEB38" w14:textId="77777777" w:rsidR="00976CDB" w:rsidRDefault="00976CDB" w:rsidP="00976CDB">
      <w:r>
        <w:rPr>
          <w:noProof/>
        </w:rPr>
        <w:drawing>
          <wp:inline distT="0" distB="0" distL="0" distR="0" wp14:anchorId="72CDBC16" wp14:editId="59B58A76">
            <wp:extent cx="1439966" cy="703447"/>
            <wp:effectExtent l="0" t="0" r="0" b="0"/>
            <wp:docPr id="12" name="Imagen 12" descr="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Aplicaci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24" cy="7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385D07">
        <w:t xml:space="preserve">   </w:t>
      </w:r>
      <w:r>
        <w:t xml:space="preserve">  </w:t>
      </w:r>
      <w:r>
        <w:fldChar w:fldCharType="begin"/>
      </w:r>
      <w:r>
        <w:instrText xml:space="preserve"> INCLUDEPICTURE "https://www.ucm.es/data/cont/docs/3-2016-07-21-Marca%20UCM%20logo%20negro.png"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48DC77B" wp14:editId="6E2A81C3">
            <wp:extent cx="766153" cy="704440"/>
            <wp:effectExtent l="0" t="0" r="0" b="0"/>
            <wp:docPr id="15" name="Imagen 15" descr="Logos UCM | Biblioteca Complut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gos UCM | Biblioteca Complutense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08" cy="74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</w:t>
      </w:r>
      <w:r w:rsidR="00385D07">
        <w:t xml:space="preserve">   </w:t>
      </w:r>
      <w:r>
        <w:t xml:space="preserve">  </w:t>
      </w:r>
      <w:r>
        <w:fldChar w:fldCharType="begin"/>
      </w:r>
      <w:r>
        <w:instrText xml:space="preserve"> INCLUDEPICTURE "https://sigarra.up.pt/faup/pt/web_gessi_docs.download_file?p_name=F1989808817/UPORTO_ARQUITECTURA_pb.jpg"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FC10C00" wp14:editId="5BF64712">
            <wp:extent cx="1546788" cy="718644"/>
            <wp:effectExtent l="0" t="0" r="3175" b="5715"/>
            <wp:docPr id="14" name="Imagen 14" descr="FA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AUP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61" cy="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</w:p>
    <w:p w14:paraId="672F74CB" w14:textId="77777777" w:rsidR="00385D07" w:rsidRDefault="00385D07" w:rsidP="00976CDB"/>
    <w:p w14:paraId="22A08B74" w14:textId="77777777" w:rsidR="00976CDB" w:rsidRPr="00BA13D4" w:rsidRDefault="00976CDB" w:rsidP="00976CDB">
      <w:pPr>
        <w:rPr>
          <w:sz w:val="10"/>
          <w:szCs w:val="10"/>
        </w:rPr>
      </w:pPr>
    </w:p>
    <w:p w14:paraId="0412B6B6" w14:textId="77777777" w:rsidR="00976CDB" w:rsidRDefault="00976CDB" w:rsidP="00976CDB">
      <w:r w:rsidRPr="00BA13D4">
        <w:rPr>
          <w:noProof/>
        </w:rPr>
        <w:drawing>
          <wp:inline distT="0" distB="0" distL="0" distR="0" wp14:anchorId="12116D1C" wp14:editId="41939068">
            <wp:extent cx="1601468" cy="636076"/>
            <wp:effectExtent l="0" t="0" r="0" b="0"/>
            <wp:docPr id="17" name="Imagen 17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Gráfico&#10;&#10;Descripción generada automáticamente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42" cy="65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85D07">
        <w:t xml:space="preserve">   </w:t>
      </w:r>
      <w:r>
        <w:t xml:space="preserve">     </w:t>
      </w:r>
      <w:r>
        <w:fldChar w:fldCharType="begin"/>
      </w:r>
      <w:r>
        <w:instrText xml:space="preserve"> INCLUDEPICTURE "https://upload.wikimedia.org/wikipedia/commons/thumb/0/09/04_-_Udelar_-_isologotipo_versi%C3%B3n_preferencial_-_positiva_-_rgb_web.svg/1200px-04_-_Udelar_-_isologotipo_versi%C3%B3n_preferencial_-_positiva_-_rgb_web.svg.png"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517B953" wp14:editId="0A2D934D">
            <wp:extent cx="1534332" cy="516376"/>
            <wp:effectExtent l="0" t="0" r="2540" b="4445"/>
            <wp:docPr id="19" name="Imagen 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13" cy="5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CF8283A" w14:textId="77777777" w:rsidR="00385D07" w:rsidRDefault="00385D07" w:rsidP="00976CDB"/>
    <w:p w14:paraId="372C172E" w14:textId="77777777" w:rsidR="00976CDB" w:rsidRDefault="00976CDB" w:rsidP="00976CDB">
      <w:r>
        <w:fldChar w:fldCharType="begin"/>
      </w:r>
      <w:r>
        <w:instrText xml:space="preserve"> INCLUDEPICTURE "https://www.sorbonne.fr/wp-content/uploads/logoUSPN_avec-marges.jpg"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178A4E7" wp14:editId="5C5AE0AC">
            <wp:extent cx="1379349" cy="653342"/>
            <wp:effectExtent l="0" t="0" r="5080" b="0"/>
            <wp:docPr id="21" name="Imagen 21" descr="Université Sorbonne Paris Nord - UP13 - 5 campus, Formation initiale,  continue - Pole enseignement, Reche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niversité Sorbonne Paris Nord - UP13 - 5 campus, Formation initiale,  continue - Pole enseignement, Recherche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95" cy="6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</w:t>
      </w:r>
      <w:r w:rsidR="00385D07">
        <w:t xml:space="preserve">   </w:t>
      </w:r>
      <w:r w:rsidR="00385D07">
        <w:fldChar w:fldCharType="begin"/>
      </w:r>
      <w:r w:rsidR="00385D07">
        <w:instrText xml:space="preserve"> INCLUDEPICTURE "https://sorbonne-paris-nord.hal.science/EXPERICE/public/PIFPOUF.png" \* MERGEFORMATINET </w:instrText>
      </w:r>
      <w:r w:rsidR="00385D07">
        <w:fldChar w:fldCharType="separate"/>
      </w:r>
      <w:r w:rsidR="00385D07">
        <w:rPr>
          <w:noProof/>
        </w:rPr>
        <w:drawing>
          <wp:inline distT="0" distB="0" distL="0" distR="0" wp14:anchorId="256A0D83" wp14:editId="70952B0F">
            <wp:extent cx="1828800" cy="512424"/>
            <wp:effectExtent l="0" t="0" r="0" b="0"/>
            <wp:docPr id="20" name="Imagen 20" descr="index - Centre de recherche interuniversitaire, expérience, ressources  culturelles, é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ndex - Centre de recherche interuniversitaire, expérience, ressources  culturelles, édu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2283"/>
                    <a:stretch/>
                  </pic:blipFill>
                  <pic:spPr bwMode="auto">
                    <a:xfrm>
                      <a:off x="0" y="0"/>
                      <a:ext cx="1961298" cy="5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D07">
        <w:fldChar w:fldCharType="end"/>
      </w:r>
      <w:r w:rsidR="00385D07">
        <w:t xml:space="preserve">    </w:t>
      </w:r>
      <w:r>
        <w:t xml:space="preserve">     </w:t>
      </w:r>
      <w:r w:rsidRPr="00145C61">
        <w:rPr>
          <w:noProof/>
        </w:rPr>
        <w:drawing>
          <wp:inline distT="0" distB="0" distL="0" distR="0" wp14:anchorId="25A1E1CD" wp14:editId="4E6038FC">
            <wp:extent cx="996779" cy="696670"/>
            <wp:effectExtent l="0" t="0" r="0" b="1905"/>
            <wp:docPr id="11" name="Imagen 11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 dibujo de una cara feliz&#10;&#10;Descripción generada automáticamente con confianza baja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9450" cy="7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21EF2" w14:textId="77777777" w:rsidR="00385D07" w:rsidRDefault="00385D07" w:rsidP="00976CDB"/>
    <w:p w14:paraId="67E9FE95" w14:textId="621157F1" w:rsidR="00976CDB" w:rsidRPr="00BA13D4" w:rsidRDefault="00976CDB" w:rsidP="00976CDB">
      <w:pPr>
        <w:rPr>
          <w:sz w:val="10"/>
          <w:szCs w:val="10"/>
        </w:rPr>
      </w:pPr>
    </w:p>
    <w:p w14:paraId="16D87DB6" w14:textId="67BFCF08" w:rsidR="00385D07" w:rsidRDefault="006D5206" w:rsidP="00976CDB">
      <w:r>
        <w:rPr>
          <w:noProof/>
        </w:rPr>
        <w:drawing>
          <wp:anchor distT="0" distB="0" distL="114300" distR="114300" simplePos="0" relativeHeight="251659264" behindDoc="0" locked="0" layoutInCell="1" allowOverlap="1" wp14:anchorId="181113E3" wp14:editId="56D5F6E2">
            <wp:simplePos x="0" y="0"/>
            <wp:positionH relativeFrom="column">
              <wp:posOffset>4116705</wp:posOffset>
            </wp:positionH>
            <wp:positionV relativeFrom="paragraph">
              <wp:posOffset>361950</wp:posOffset>
            </wp:positionV>
            <wp:extent cx="1150620" cy="368163"/>
            <wp:effectExtent l="0" t="0" r="0" b="0"/>
            <wp:wrapSquare wrapText="bothSides"/>
            <wp:docPr id="13" name="Imagen 1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36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CDB">
        <w:fldChar w:fldCharType="begin"/>
      </w:r>
      <w:r w:rsidR="00976CDB">
        <w:instrText xml:space="preserve"> INCLUDEPICTURE "https://static.arteinformado.com/resources/app/docs/organizacion/96/109196/logo.png" \* MERGEFORMATINET </w:instrText>
      </w:r>
      <w:r w:rsidR="00976CDB">
        <w:fldChar w:fldCharType="separate"/>
      </w:r>
      <w:r w:rsidR="00976CDB">
        <w:rPr>
          <w:noProof/>
        </w:rPr>
        <w:drawing>
          <wp:inline distT="0" distB="0" distL="0" distR="0" wp14:anchorId="5C76E846" wp14:editId="58B99F44">
            <wp:extent cx="851783" cy="851783"/>
            <wp:effectExtent l="0" t="0" r="0" b="0"/>
            <wp:docPr id="8" name="Imagen 8" descr="Museu del Joguet de Catalunya / Figueres. Museo | ARTEINFOR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useu del Joguet de Catalunya / Figueres. Museo | ARTEINFORMADO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6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65" cy="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DB">
        <w:fldChar w:fldCharType="end"/>
      </w:r>
      <w:r w:rsidR="00976CDB">
        <w:t xml:space="preserve">    </w:t>
      </w:r>
      <w:r w:rsidR="00385D07">
        <w:t xml:space="preserve">   </w:t>
      </w:r>
      <w:r w:rsidR="00976CDB">
        <w:t xml:space="preserve">  </w:t>
      </w:r>
      <w:r w:rsidR="00976CDB">
        <w:fldChar w:fldCharType="begin"/>
      </w:r>
      <w:r w:rsidR="00976CDB">
        <w:instrText xml:space="preserve"> INCLUDEPICTURE "https://totraval.org/sites/default/files/palau_guell_db_vertical_positiu_negre_0.jpg" \* MERGEFORMATINET </w:instrText>
      </w:r>
      <w:r w:rsidR="00976CDB">
        <w:fldChar w:fldCharType="separate"/>
      </w:r>
      <w:r w:rsidR="00976CDB">
        <w:rPr>
          <w:noProof/>
        </w:rPr>
        <w:drawing>
          <wp:inline distT="0" distB="0" distL="0" distR="0" wp14:anchorId="641FEBBD" wp14:editId="37A38B0D">
            <wp:extent cx="860156" cy="860156"/>
            <wp:effectExtent l="0" t="0" r="3810" b="3810"/>
            <wp:docPr id="23" name="Imagen 23" descr="Palau Güell | Tot Ra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alau Güell | Tot Raval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83" cy="89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DB">
        <w:fldChar w:fldCharType="end"/>
      </w:r>
      <w:r w:rsidR="00976CDB">
        <w:t xml:space="preserve">   </w:t>
      </w:r>
      <w:r w:rsidR="00385D07">
        <w:t xml:space="preserve">   </w:t>
      </w:r>
      <w:r w:rsidR="00976CDB" w:rsidRPr="00BA13D4">
        <w:rPr>
          <w:noProof/>
        </w:rPr>
        <w:drawing>
          <wp:inline distT="0" distB="0" distL="0" distR="0" wp14:anchorId="181A3FF3" wp14:editId="42141908">
            <wp:extent cx="1730968" cy="774706"/>
            <wp:effectExtent l="0" t="0" r="0" b="0"/>
            <wp:docPr id="18" name="Imagen 18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Logotipo&#10;&#10;Descripción generada automáticamente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3282" cy="82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CDB">
        <w:t xml:space="preserve">   </w:t>
      </w:r>
    </w:p>
    <w:p w14:paraId="712F7860" w14:textId="544B4C6D" w:rsidR="00976CDB" w:rsidRDefault="00976CDB"/>
    <w:sectPr w:rsidR="00976CDB">
      <w:head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B640F" w14:textId="77777777" w:rsidR="00C53C8C" w:rsidRDefault="00C53C8C" w:rsidP="00C13927">
      <w:r>
        <w:separator/>
      </w:r>
    </w:p>
  </w:endnote>
  <w:endnote w:type="continuationSeparator" w:id="0">
    <w:p w14:paraId="6463667C" w14:textId="77777777" w:rsidR="00C53C8C" w:rsidRDefault="00C53C8C" w:rsidP="00C13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Didot">
    <w:altName w:val="Arial"/>
    <w:charset w:val="B1"/>
    <w:family w:val="auto"/>
    <w:pitch w:val="variable"/>
    <w:sig w:usb0="80000867" w:usb1="00000000" w:usb2="00000000" w:usb3="00000000" w:csb0="000001FB" w:csb1="00000000"/>
  </w:font>
  <w:font w:name="Avenir Next Medium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5743E" w14:textId="77777777" w:rsidR="00C53C8C" w:rsidRDefault="00C53C8C" w:rsidP="00C13927">
      <w:r>
        <w:separator/>
      </w:r>
    </w:p>
  </w:footnote>
  <w:footnote w:type="continuationSeparator" w:id="0">
    <w:p w14:paraId="01FF83D8" w14:textId="77777777" w:rsidR="00C53C8C" w:rsidRDefault="00C53C8C" w:rsidP="00C13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aambquadrcula"/>
      <w:tblW w:w="10773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2126"/>
      <w:gridCol w:w="1417"/>
      <w:gridCol w:w="2268"/>
    </w:tblGrid>
    <w:tr w:rsidR="00E30877" w14:paraId="71DFFB01" w14:textId="77777777" w:rsidTr="00E30877">
      <w:trPr>
        <w:trHeight w:val="101"/>
      </w:trPr>
      <w:tc>
        <w:tcPr>
          <w:tcW w:w="4962" w:type="dxa"/>
          <w:vMerge w:val="restart"/>
        </w:tcPr>
        <w:p w14:paraId="3CFF1D0A" w14:textId="77777777" w:rsidR="00E30877" w:rsidRDefault="00E30877" w:rsidP="00C13927">
          <w:r>
            <w:rPr>
              <w:noProof/>
              <w:lang w:eastAsia="ca-ES" w:bidi="he-IL"/>
            </w:rPr>
            <w:drawing>
              <wp:inline distT="0" distB="0" distL="0" distR="0" wp14:anchorId="672D5944" wp14:editId="51C686A7">
                <wp:extent cx="1660342" cy="574482"/>
                <wp:effectExtent l="0" t="0" r="3810" b="0"/>
                <wp:docPr id="22" name="Imagen 22" descr="logo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logo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2195" cy="5889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rFonts w:ascii="Garamond" w:hAnsi="Garamond"/>
              <w:noProof/>
              <w:spacing w:val="14"/>
              <w:lang w:val="fr-FR"/>
            </w:rPr>
            <w:drawing>
              <wp:inline distT="0" distB="0" distL="0" distR="0" wp14:anchorId="4828A5A9" wp14:editId="5A681AEF">
                <wp:extent cx="1160891" cy="623071"/>
                <wp:effectExtent l="0" t="0" r="0" b="0"/>
                <wp:docPr id="6" name="Imagen 6" descr="Un dibujo de una caricatur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Un dibujo de una caricatura&#10;&#10;Descripción generada automáticamente con confianza media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7145" cy="631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gridSpan w:val="3"/>
          <w:tcBorders>
            <w:bottom w:val="single" w:sz="4" w:space="0" w:color="auto"/>
          </w:tcBorders>
        </w:tcPr>
        <w:p w14:paraId="2209ED43" w14:textId="77777777" w:rsidR="00E30877" w:rsidRPr="00C13927" w:rsidRDefault="00E30877" w:rsidP="00C13927">
          <w:pPr>
            <w:rPr>
              <w:sz w:val="4"/>
              <w:szCs w:val="4"/>
            </w:rPr>
          </w:pPr>
        </w:p>
      </w:tc>
    </w:tr>
    <w:tr w:rsidR="00E30877" w:rsidRPr="006D5206" w14:paraId="7B186DE7" w14:textId="77777777" w:rsidTr="00E30877">
      <w:tc>
        <w:tcPr>
          <w:tcW w:w="4962" w:type="dxa"/>
          <w:vMerge/>
        </w:tcPr>
        <w:p w14:paraId="38AD4322" w14:textId="77777777" w:rsidR="00E30877" w:rsidRDefault="00E30877" w:rsidP="00C13927"/>
      </w:tc>
      <w:tc>
        <w:tcPr>
          <w:tcW w:w="2126" w:type="dxa"/>
          <w:tcBorders>
            <w:top w:val="single" w:sz="4" w:space="0" w:color="auto"/>
          </w:tcBorders>
        </w:tcPr>
        <w:p w14:paraId="69F54D3C" w14:textId="77777777" w:rsidR="00E30877" w:rsidRPr="00C13927" w:rsidRDefault="00E30877" w:rsidP="00C13927">
          <w:pPr>
            <w:pStyle w:val="Capaleranegreta"/>
            <w:spacing w:line="240" w:lineRule="auto"/>
            <w:rPr>
              <w:sz w:val="4"/>
              <w:szCs w:val="4"/>
            </w:rPr>
          </w:pPr>
        </w:p>
        <w:p w14:paraId="02A0E77E" w14:textId="77777777" w:rsidR="00E30877" w:rsidRDefault="00E30877" w:rsidP="00C13927">
          <w:pPr>
            <w:pStyle w:val="Capaleranegreta"/>
          </w:pPr>
          <w:r w:rsidRPr="007D6386">
            <w:t xml:space="preserve">Departament </w:t>
          </w:r>
          <w:r>
            <w:t xml:space="preserve">d’Arts </w:t>
          </w:r>
        </w:p>
        <w:p w14:paraId="71DD8771" w14:textId="77777777" w:rsidR="00E30877" w:rsidRPr="00555678" w:rsidRDefault="00E30877" w:rsidP="00C13927">
          <w:pPr>
            <w:pStyle w:val="Capaleranegreta"/>
          </w:pPr>
          <w:r>
            <w:t xml:space="preserve">i Conservació-Restauració </w:t>
          </w:r>
        </w:p>
        <w:p w14:paraId="5AA1DC82" w14:textId="77777777" w:rsidR="00E30877" w:rsidRPr="00555678" w:rsidRDefault="00E30877" w:rsidP="00C13927">
          <w:pPr>
            <w:pStyle w:val="Capalera1"/>
          </w:pPr>
          <w:r>
            <w:t>Facultat de Belles Arts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0E954B8F" w14:textId="77777777" w:rsidR="00E30877" w:rsidRPr="00C13927" w:rsidRDefault="00E30877" w:rsidP="00C13927">
          <w:pPr>
            <w:pStyle w:val="Capalera1"/>
            <w:spacing w:line="240" w:lineRule="auto"/>
            <w:rPr>
              <w:sz w:val="4"/>
              <w:szCs w:val="4"/>
            </w:rPr>
          </w:pPr>
        </w:p>
        <w:p w14:paraId="108068BF" w14:textId="77777777" w:rsidR="00E30877" w:rsidRDefault="00E30877" w:rsidP="00C13927">
          <w:pPr>
            <w:pStyle w:val="Capalera1"/>
          </w:pPr>
          <w:r>
            <w:t xml:space="preserve">Pau </w:t>
          </w:r>
          <w:proofErr w:type="spellStart"/>
          <w:r>
            <w:t>Gargallo</w:t>
          </w:r>
          <w:proofErr w:type="spellEnd"/>
          <w:r>
            <w:t>, 4</w:t>
          </w:r>
        </w:p>
        <w:p w14:paraId="293F18EB" w14:textId="77777777" w:rsidR="00E30877" w:rsidRPr="00555678" w:rsidRDefault="00E30877" w:rsidP="00C13927">
          <w:pPr>
            <w:pStyle w:val="Capalera1"/>
          </w:pPr>
          <w:r>
            <w:t>08028 Barcelona</w:t>
          </w:r>
        </w:p>
      </w:tc>
      <w:tc>
        <w:tcPr>
          <w:tcW w:w="2268" w:type="dxa"/>
          <w:tcBorders>
            <w:top w:val="single" w:sz="4" w:space="0" w:color="auto"/>
          </w:tcBorders>
        </w:tcPr>
        <w:p w14:paraId="74ABA551" w14:textId="77777777" w:rsidR="00E30877" w:rsidRPr="00C13927" w:rsidRDefault="00E30877" w:rsidP="00C13927">
          <w:pPr>
            <w:pStyle w:val="Capalera1"/>
            <w:spacing w:line="240" w:lineRule="auto"/>
            <w:rPr>
              <w:sz w:val="4"/>
              <w:szCs w:val="4"/>
            </w:rPr>
          </w:pPr>
        </w:p>
        <w:p w14:paraId="77F20C3C" w14:textId="77777777" w:rsidR="00E30877" w:rsidRDefault="00E30877" w:rsidP="00C13927">
          <w:pPr>
            <w:pStyle w:val="Capalera1"/>
          </w:pPr>
          <w:r>
            <w:t>+34 660 074 132</w:t>
          </w:r>
        </w:p>
        <w:p w14:paraId="1BCC44B9" w14:textId="77777777" w:rsidR="00E30877" w:rsidRPr="00555678" w:rsidRDefault="00E30877" w:rsidP="00C13927">
          <w:pPr>
            <w:pStyle w:val="Capalera1"/>
          </w:pPr>
          <w:r>
            <w:t xml:space="preserve">+34 </w:t>
          </w:r>
          <w:r w:rsidRPr="00387BFB">
            <w:t>934 03</w:t>
          </w:r>
          <w:r>
            <w:t>4</w:t>
          </w:r>
          <w:r w:rsidRPr="00387BFB">
            <w:t xml:space="preserve"> </w:t>
          </w:r>
          <w:r>
            <w:t>073</w:t>
          </w:r>
        </w:p>
        <w:p w14:paraId="0675287B" w14:textId="77777777" w:rsidR="00E30877" w:rsidRDefault="00000000" w:rsidP="00C13927">
          <w:pPr>
            <w:pStyle w:val="Capalera1"/>
          </w:pPr>
          <w:hyperlink r:id="rId3" w:history="1">
            <w:r w:rsidR="00E30877" w:rsidRPr="00BE0915">
              <w:rPr>
                <w:rStyle w:val="Enlla"/>
              </w:rPr>
              <w:t>ovazromerotrueba@ub.edu</w:t>
            </w:r>
          </w:hyperlink>
          <w:r w:rsidR="00E30877">
            <w:t xml:space="preserve"> </w:t>
          </w:r>
        </w:p>
        <w:p w14:paraId="579E9DCC" w14:textId="77777777" w:rsidR="00E30877" w:rsidRPr="00555678" w:rsidRDefault="00000000" w:rsidP="00C13927">
          <w:pPr>
            <w:pStyle w:val="Capalera1"/>
          </w:pPr>
          <w:hyperlink r:id="rId4" w:history="1">
            <w:r w:rsidR="00E30877" w:rsidRPr="00BE0915">
              <w:rPr>
                <w:rStyle w:val="Enlla"/>
              </w:rPr>
              <w:t>www.ub.edu/dp-arts-conservacio</w:t>
            </w:r>
          </w:hyperlink>
          <w:r w:rsidR="00E30877">
            <w:t xml:space="preserve"> </w:t>
          </w:r>
        </w:p>
      </w:tc>
    </w:tr>
  </w:tbl>
  <w:p w14:paraId="733D2C1A" w14:textId="77777777" w:rsidR="00E30877" w:rsidRPr="0015389D" w:rsidRDefault="00E30877">
    <w:pPr>
      <w:pStyle w:val="Capalera"/>
      <w:rPr>
        <w:lang w:val="ca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07AA"/>
    <w:multiLevelType w:val="hybridMultilevel"/>
    <w:tmpl w:val="6AEE960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F6FC1"/>
    <w:multiLevelType w:val="hybridMultilevel"/>
    <w:tmpl w:val="27369F5A"/>
    <w:lvl w:ilvl="0" w:tplc="4924460A">
      <w:start w:val="3"/>
      <w:numFmt w:val="bullet"/>
      <w:lvlText w:val="o"/>
      <w:lvlJc w:val="left"/>
      <w:pPr>
        <w:ind w:left="720" w:hanging="360"/>
      </w:pPr>
      <w:rPr>
        <w:rFonts w:ascii="Courier New" w:eastAsiaTheme="minorHAnsi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7204B"/>
    <w:multiLevelType w:val="hybridMultilevel"/>
    <w:tmpl w:val="19122C8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A4079"/>
    <w:multiLevelType w:val="hybridMultilevel"/>
    <w:tmpl w:val="50262058"/>
    <w:lvl w:ilvl="0" w:tplc="4924460A">
      <w:start w:val="3"/>
      <w:numFmt w:val="bullet"/>
      <w:lvlText w:val="o"/>
      <w:lvlJc w:val="left"/>
      <w:pPr>
        <w:ind w:left="720" w:hanging="360"/>
      </w:pPr>
      <w:rPr>
        <w:rFonts w:ascii="Courier New" w:eastAsiaTheme="minorHAnsi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C1AEC"/>
    <w:multiLevelType w:val="hybridMultilevel"/>
    <w:tmpl w:val="7854D022"/>
    <w:lvl w:ilvl="0" w:tplc="4924460A">
      <w:start w:val="3"/>
      <w:numFmt w:val="bullet"/>
      <w:lvlText w:val="o"/>
      <w:lvlJc w:val="left"/>
      <w:pPr>
        <w:ind w:left="720" w:hanging="360"/>
      </w:pPr>
      <w:rPr>
        <w:rFonts w:ascii="Courier New" w:eastAsiaTheme="minorHAnsi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E26F1"/>
    <w:multiLevelType w:val="hybridMultilevel"/>
    <w:tmpl w:val="435CAA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B2260"/>
    <w:multiLevelType w:val="hybridMultilevel"/>
    <w:tmpl w:val="C478A2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D7417C"/>
    <w:multiLevelType w:val="hybridMultilevel"/>
    <w:tmpl w:val="092C582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6E4ED7"/>
    <w:multiLevelType w:val="hybridMultilevel"/>
    <w:tmpl w:val="BCD01744"/>
    <w:lvl w:ilvl="0" w:tplc="4924460A">
      <w:start w:val="3"/>
      <w:numFmt w:val="bullet"/>
      <w:lvlText w:val="o"/>
      <w:lvlJc w:val="left"/>
      <w:pPr>
        <w:ind w:left="720" w:hanging="360"/>
      </w:pPr>
      <w:rPr>
        <w:rFonts w:ascii="Courier New" w:eastAsiaTheme="minorHAnsi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944436">
    <w:abstractNumId w:val="2"/>
  </w:num>
  <w:num w:numId="2" w16cid:durableId="1295713036">
    <w:abstractNumId w:val="6"/>
  </w:num>
  <w:num w:numId="3" w16cid:durableId="1752196174">
    <w:abstractNumId w:val="5"/>
  </w:num>
  <w:num w:numId="4" w16cid:durableId="1444376059">
    <w:abstractNumId w:val="4"/>
  </w:num>
  <w:num w:numId="5" w16cid:durableId="621422767">
    <w:abstractNumId w:val="8"/>
  </w:num>
  <w:num w:numId="6" w16cid:durableId="1981575456">
    <w:abstractNumId w:val="3"/>
  </w:num>
  <w:num w:numId="7" w16cid:durableId="442190285">
    <w:abstractNumId w:val="7"/>
  </w:num>
  <w:num w:numId="8" w16cid:durableId="178931516">
    <w:abstractNumId w:val="0"/>
  </w:num>
  <w:num w:numId="9" w16cid:durableId="324475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321"/>
    <w:rsid w:val="00035452"/>
    <w:rsid w:val="00101AB3"/>
    <w:rsid w:val="0015389D"/>
    <w:rsid w:val="0020108B"/>
    <w:rsid w:val="00385D07"/>
    <w:rsid w:val="0044242B"/>
    <w:rsid w:val="005E2702"/>
    <w:rsid w:val="006D5206"/>
    <w:rsid w:val="007A0239"/>
    <w:rsid w:val="007A7067"/>
    <w:rsid w:val="00804321"/>
    <w:rsid w:val="00976CDB"/>
    <w:rsid w:val="00A31EBC"/>
    <w:rsid w:val="00A76D6E"/>
    <w:rsid w:val="00B44E4A"/>
    <w:rsid w:val="00BB5D7B"/>
    <w:rsid w:val="00BD49E8"/>
    <w:rsid w:val="00C13927"/>
    <w:rsid w:val="00C53C8C"/>
    <w:rsid w:val="00CC3370"/>
    <w:rsid w:val="00D3450D"/>
    <w:rsid w:val="00D425BA"/>
    <w:rsid w:val="00E24440"/>
    <w:rsid w:val="00E30877"/>
    <w:rsid w:val="00E632F7"/>
    <w:rsid w:val="00EA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062CB"/>
  <w15:chartTrackingRefBased/>
  <w15:docId w15:val="{DB9D95E2-2FF4-FC4A-BC53-833CCAB98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B44E4A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C1392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C13927"/>
  </w:style>
  <w:style w:type="paragraph" w:styleId="Peu">
    <w:name w:val="footer"/>
    <w:basedOn w:val="Normal"/>
    <w:link w:val="PeuCar"/>
    <w:uiPriority w:val="99"/>
    <w:unhideWhenUsed/>
    <w:rsid w:val="00C1392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C13927"/>
  </w:style>
  <w:style w:type="paragraph" w:customStyle="1" w:styleId="Capalera1">
    <w:name w:val="Capçalera1"/>
    <w:basedOn w:val="Normal"/>
    <w:qFormat/>
    <w:rsid w:val="00C13927"/>
    <w:pPr>
      <w:spacing w:line="180" w:lineRule="exact"/>
    </w:pPr>
    <w:rPr>
      <w:rFonts w:ascii="Arial" w:eastAsia="Cambria" w:hAnsi="Arial" w:cs="Times New Roman"/>
      <w:sz w:val="14"/>
      <w:lang w:val="ca-ES"/>
    </w:rPr>
  </w:style>
  <w:style w:type="paragraph" w:customStyle="1" w:styleId="Capaleranegreta">
    <w:name w:val="Capçalera negreta"/>
    <w:basedOn w:val="Capalera1"/>
    <w:qFormat/>
    <w:rsid w:val="00C13927"/>
    <w:rPr>
      <w:b/>
    </w:rPr>
  </w:style>
  <w:style w:type="table" w:styleId="Taulaambquadrcula">
    <w:name w:val="Table Grid"/>
    <w:basedOn w:val="Taulanormal"/>
    <w:uiPriority w:val="39"/>
    <w:rsid w:val="00C13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Lletraperdefectedelpargraf"/>
    <w:uiPriority w:val="99"/>
    <w:unhideWhenUsed/>
    <w:rsid w:val="00C13927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C13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7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tiff"/><Relationship Id="rId28" Type="http://schemas.openxmlformats.org/officeDocument/2006/relationships/image" Target="media/image19.tiff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quintanapaz.es" TargetMode="External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vazromerotrueba@ub.edu" TargetMode="External"/><Relationship Id="rId2" Type="http://schemas.openxmlformats.org/officeDocument/2006/relationships/image" Target="media/image21.jpg"/><Relationship Id="rId1" Type="http://schemas.openxmlformats.org/officeDocument/2006/relationships/image" Target="media/image20.png"/><Relationship Id="rId4" Type="http://schemas.openxmlformats.org/officeDocument/2006/relationships/hyperlink" Target="http://www.ub.edu/dp-arts-conservaci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Oriol Vaz-Romero Trueba</dc:creator>
  <cp:keywords/>
  <dc:description/>
  <cp:lastModifiedBy>Lorena García García</cp:lastModifiedBy>
  <cp:revision>2</cp:revision>
  <dcterms:created xsi:type="dcterms:W3CDTF">2024-02-08T08:43:00Z</dcterms:created>
  <dcterms:modified xsi:type="dcterms:W3CDTF">2024-02-08T08:43:00Z</dcterms:modified>
</cp:coreProperties>
</file>